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C487" w14:textId="38D166AF" w:rsidR="003566B0" w:rsidRDefault="003566B0" w:rsidP="00425C92">
      <w:pPr>
        <w:spacing w:before="0" w:after="120"/>
        <w:ind w:firstLine="0"/>
        <w:rPr>
          <w:b/>
          <w:bCs/>
        </w:rPr>
      </w:pPr>
    </w:p>
    <w:p w14:paraId="460BB77B" w14:textId="1303B121" w:rsidR="00076282" w:rsidRPr="004A5AED" w:rsidRDefault="004A5AED" w:rsidP="004A5AED">
      <w:pPr>
        <w:ind w:left="-284" w:firstLine="0"/>
        <w:rPr>
          <w:b/>
          <w:bCs/>
          <w:sz w:val="48"/>
          <w:szCs w:val="48"/>
        </w:rPr>
      </w:pPr>
      <w:r w:rsidRPr="004A5AED">
        <w:rPr>
          <w:b/>
          <w:bCs/>
          <w:noProof/>
          <w:sz w:val="48"/>
          <w:szCs w:val="48"/>
        </w:rPr>
        <w:drawing>
          <wp:anchor distT="0" distB="0" distL="114300" distR="114300" simplePos="0" relativeHeight="251658241" behindDoc="0" locked="0" layoutInCell="1" allowOverlap="1" wp14:anchorId="4A0B4B60" wp14:editId="3F2DACDD">
            <wp:simplePos x="0" y="0"/>
            <wp:positionH relativeFrom="column">
              <wp:posOffset>4657725</wp:posOffset>
            </wp:positionH>
            <wp:positionV relativeFrom="paragraph">
              <wp:posOffset>8890</wp:posOffset>
            </wp:positionV>
            <wp:extent cx="1223010" cy="74295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r w:rsidR="00FA6040">
        <w:rPr>
          <w:b/>
          <w:bCs/>
          <w:sz w:val="48"/>
          <w:szCs w:val="48"/>
        </w:rPr>
        <w:t xml:space="preserve">Appendix 4: </w:t>
      </w:r>
      <w:r w:rsidRPr="004A5AED">
        <w:rPr>
          <w:b/>
          <w:bCs/>
          <w:sz w:val="48"/>
          <w:szCs w:val="48"/>
        </w:rPr>
        <w:t xml:space="preserve">Children’s social care </w:t>
      </w:r>
      <w:r>
        <w:rPr>
          <w:b/>
          <w:bCs/>
          <w:sz w:val="48"/>
          <w:szCs w:val="48"/>
        </w:rPr>
        <w:t>p</w:t>
      </w:r>
      <w:r w:rsidRPr="004A5AED">
        <w:rPr>
          <w:b/>
          <w:bCs/>
          <w:sz w:val="48"/>
          <w:szCs w:val="48"/>
        </w:rPr>
        <w:t>lacements working group</w:t>
      </w:r>
    </w:p>
    <w:p w14:paraId="4BF2D689" w14:textId="77777777" w:rsidR="004A5AED" w:rsidRDefault="004A5AED" w:rsidP="004A5AED"/>
    <w:p w14:paraId="1F6D7ACC" w14:textId="2839C978" w:rsidR="00447DCB" w:rsidRPr="004A5AED" w:rsidRDefault="0058391B" w:rsidP="00047DD5">
      <w:pPr>
        <w:ind w:hanging="284"/>
        <w:rPr>
          <w:b/>
          <w:bCs/>
          <w:sz w:val="44"/>
          <w:szCs w:val="44"/>
        </w:rPr>
      </w:pPr>
      <w:r w:rsidRPr="004A5AED">
        <w:rPr>
          <w:b/>
          <w:bCs/>
          <w:sz w:val="44"/>
          <w:szCs w:val="44"/>
        </w:rPr>
        <w:t xml:space="preserve">Current </w:t>
      </w:r>
      <w:r w:rsidR="00491252" w:rsidRPr="004A5AED">
        <w:rPr>
          <w:b/>
          <w:bCs/>
          <w:sz w:val="44"/>
          <w:szCs w:val="44"/>
        </w:rPr>
        <w:t>statistics</w:t>
      </w:r>
      <w:r w:rsidRPr="004A5AED">
        <w:rPr>
          <w:b/>
          <w:bCs/>
          <w:sz w:val="44"/>
          <w:szCs w:val="44"/>
        </w:rPr>
        <w:t xml:space="preserve"> - summary</w:t>
      </w:r>
    </w:p>
    <w:sdt>
      <w:sdtPr>
        <w:rPr>
          <w:rFonts w:ascii="Arial" w:eastAsiaTheme="minorHAnsi" w:hAnsi="Arial" w:cstheme="minorBidi"/>
          <w:color w:val="auto"/>
          <w:sz w:val="24"/>
          <w:szCs w:val="24"/>
          <w:lang w:val="en-GB"/>
        </w:rPr>
        <w:id w:val="-1390567158"/>
        <w:docPartObj>
          <w:docPartGallery w:val="Table of Contents"/>
          <w:docPartUnique/>
        </w:docPartObj>
      </w:sdtPr>
      <w:sdtEndPr>
        <w:rPr>
          <w:b/>
          <w:bCs/>
          <w:noProof/>
        </w:rPr>
      </w:sdtEndPr>
      <w:sdtContent>
        <w:p w14:paraId="04FFB9CC" w14:textId="2529FB02" w:rsidR="00047DD5" w:rsidRDefault="00047DD5">
          <w:pPr>
            <w:pStyle w:val="TOCHeading"/>
          </w:pPr>
          <w:r>
            <w:t>Contents</w:t>
          </w:r>
        </w:p>
        <w:p w14:paraId="622C56ED" w14:textId="5523C416" w:rsidR="00047DD5" w:rsidRDefault="00047DD5">
          <w:pPr>
            <w:pStyle w:val="TOC3"/>
            <w:tabs>
              <w:tab w:val="right" w:leader="dot" w:pos="9629"/>
            </w:tabs>
            <w:rPr>
              <w:rFonts w:asciiTheme="minorHAnsi" w:eastAsiaTheme="minorEastAsia" w:hAnsiTheme="minorHAnsi"/>
              <w:noProof/>
              <w:sz w:val="22"/>
              <w:szCs w:val="22"/>
              <w:lang w:eastAsia="en-GB"/>
            </w:rPr>
          </w:pPr>
          <w:r>
            <w:fldChar w:fldCharType="begin"/>
          </w:r>
          <w:r>
            <w:instrText xml:space="preserve"> TOC \o "1-3" \h \z \u </w:instrText>
          </w:r>
          <w:r>
            <w:fldChar w:fldCharType="separate"/>
          </w:r>
          <w:hyperlink w:anchor="_Toc121229683" w:history="1">
            <w:r w:rsidRPr="00A34E9E">
              <w:rPr>
                <w:rStyle w:val="Hyperlink"/>
                <w:noProof/>
              </w:rPr>
              <w:t>Children in care</w:t>
            </w:r>
            <w:r>
              <w:rPr>
                <w:noProof/>
                <w:webHidden/>
              </w:rPr>
              <w:tab/>
            </w:r>
            <w:r>
              <w:rPr>
                <w:noProof/>
                <w:webHidden/>
              </w:rPr>
              <w:fldChar w:fldCharType="begin"/>
            </w:r>
            <w:r>
              <w:rPr>
                <w:noProof/>
                <w:webHidden/>
              </w:rPr>
              <w:instrText xml:space="preserve"> PAGEREF _Toc121229683 \h </w:instrText>
            </w:r>
            <w:r>
              <w:rPr>
                <w:noProof/>
                <w:webHidden/>
              </w:rPr>
            </w:r>
            <w:r>
              <w:rPr>
                <w:noProof/>
                <w:webHidden/>
              </w:rPr>
              <w:fldChar w:fldCharType="separate"/>
            </w:r>
            <w:r>
              <w:rPr>
                <w:noProof/>
                <w:webHidden/>
              </w:rPr>
              <w:t>1</w:t>
            </w:r>
            <w:r>
              <w:rPr>
                <w:noProof/>
                <w:webHidden/>
              </w:rPr>
              <w:fldChar w:fldCharType="end"/>
            </w:r>
          </w:hyperlink>
        </w:p>
        <w:p w14:paraId="5A0FAA9F" w14:textId="65A18DAF" w:rsidR="00047DD5" w:rsidRDefault="008B037E">
          <w:pPr>
            <w:pStyle w:val="TOC3"/>
            <w:tabs>
              <w:tab w:val="right" w:leader="dot" w:pos="9629"/>
            </w:tabs>
            <w:rPr>
              <w:rFonts w:asciiTheme="minorHAnsi" w:eastAsiaTheme="minorEastAsia" w:hAnsiTheme="minorHAnsi"/>
              <w:noProof/>
              <w:sz w:val="22"/>
              <w:szCs w:val="22"/>
              <w:lang w:eastAsia="en-GB"/>
            </w:rPr>
          </w:pPr>
          <w:hyperlink w:anchor="_Toc121229684" w:history="1">
            <w:r w:rsidR="00047DD5" w:rsidRPr="00A34E9E">
              <w:rPr>
                <w:rStyle w:val="Hyperlink"/>
                <w:noProof/>
              </w:rPr>
              <w:t>Types of placement</w:t>
            </w:r>
            <w:r w:rsidR="00047DD5">
              <w:rPr>
                <w:noProof/>
                <w:webHidden/>
              </w:rPr>
              <w:tab/>
            </w:r>
            <w:r w:rsidR="00047DD5">
              <w:rPr>
                <w:noProof/>
                <w:webHidden/>
              </w:rPr>
              <w:fldChar w:fldCharType="begin"/>
            </w:r>
            <w:r w:rsidR="00047DD5">
              <w:rPr>
                <w:noProof/>
                <w:webHidden/>
              </w:rPr>
              <w:instrText xml:space="preserve"> PAGEREF _Toc121229684 \h </w:instrText>
            </w:r>
            <w:r w:rsidR="00047DD5">
              <w:rPr>
                <w:noProof/>
                <w:webHidden/>
              </w:rPr>
            </w:r>
            <w:r w:rsidR="00047DD5">
              <w:rPr>
                <w:noProof/>
                <w:webHidden/>
              </w:rPr>
              <w:fldChar w:fldCharType="separate"/>
            </w:r>
            <w:r w:rsidR="00047DD5">
              <w:rPr>
                <w:noProof/>
                <w:webHidden/>
              </w:rPr>
              <w:t>2</w:t>
            </w:r>
            <w:r w:rsidR="00047DD5">
              <w:rPr>
                <w:noProof/>
                <w:webHidden/>
              </w:rPr>
              <w:fldChar w:fldCharType="end"/>
            </w:r>
          </w:hyperlink>
        </w:p>
        <w:p w14:paraId="26117E83" w14:textId="378AEDAA" w:rsidR="00047DD5" w:rsidRDefault="008B037E">
          <w:pPr>
            <w:pStyle w:val="TOC3"/>
            <w:tabs>
              <w:tab w:val="right" w:leader="dot" w:pos="9629"/>
            </w:tabs>
            <w:rPr>
              <w:rFonts w:asciiTheme="minorHAnsi" w:eastAsiaTheme="minorEastAsia" w:hAnsiTheme="minorHAnsi"/>
              <w:noProof/>
              <w:sz w:val="22"/>
              <w:szCs w:val="22"/>
              <w:lang w:eastAsia="en-GB"/>
            </w:rPr>
          </w:pPr>
          <w:hyperlink w:anchor="_Toc121229685" w:history="1">
            <w:r w:rsidR="00047DD5" w:rsidRPr="00A34E9E">
              <w:rPr>
                <w:rStyle w:val="Hyperlink"/>
                <w:noProof/>
              </w:rPr>
              <w:t>Sufficiency</w:t>
            </w:r>
            <w:r w:rsidR="00047DD5">
              <w:rPr>
                <w:noProof/>
                <w:webHidden/>
              </w:rPr>
              <w:tab/>
            </w:r>
            <w:r w:rsidR="00047DD5">
              <w:rPr>
                <w:noProof/>
                <w:webHidden/>
              </w:rPr>
              <w:fldChar w:fldCharType="begin"/>
            </w:r>
            <w:r w:rsidR="00047DD5">
              <w:rPr>
                <w:noProof/>
                <w:webHidden/>
              </w:rPr>
              <w:instrText xml:space="preserve"> PAGEREF _Toc121229685 \h </w:instrText>
            </w:r>
            <w:r w:rsidR="00047DD5">
              <w:rPr>
                <w:noProof/>
                <w:webHidden/>
              </w:rPr>
            </w:r>
            <w:r w:rsidR="00047DD5">
              <w:rPr>
                <w:noProof/>
                <w:webHidden/>
              </w:rPr>
              <w:fldChar w:fldCharType="separate"/>
            </w:r>
            <w:r w:rsidR="00047DD5">
              <w:rPr>
                <w:noProof/>
                <w:webHidden/>
              </w:rPr>
              <w:t>3</w:t>
            </w:r>
            <w:r w:rsidR="00047DD5">
              <w:rPr>
                <w:noProof/>
                <w:webHidden/>
              </w:rPr>
              <w:fldChar w:fldCharType="end"/>
            </w:r>
          </w:hyperlink>
        </w:p>
        <w:p w14:paraId="082F3EE3" w14:textId="19BEFF45" w:rsidR="00047DD5" w:rsidRDefault="008B037E">
          <w:pPr>
            <w:pStyle w:val="TOC3"/>
            <w:tabs>
              <w:tab w:val="right" w:leader="dot" w:pos="9629"/>
            </w:tabs>
            <w:rPr>
              <w:rFonts w:asciiTheme="minorHAnsi" w:eastAsiaTheme="minorEastAsia" w:hAnsiTheme="minorHAnsi"/>
              <w:noProof/>
              <w:sz w:val="22"/>
              <w:szCs w:val="22"/>
              <w:lang w:eastAsia="en-GB"/>
            </w:rPr>
          </w:pPr>
          <w:hyperlink w:anchor="_Toc121229686" w:history="1">
            <w:r w:rsidR="00047DD5" w:rsidRPr="00A34E9E">
              <w:rPr>
                <w:rStyle w:val="Hyperlink"/>
                <w:noProof/>
              </w:rPr>
              <w:t>Providers</w:t>
            </w:r>
            <w:r w:rsidR="00047DD5">
              <w:rPr>
                <w:noProof/>
                <w:webHidden/>
              </w:rPr>
              <w:tab/>
            </w:r>
            <w:r w:rsidR="00047DD5">
              <w:rPr>
                <w:noProof/>
                <w:webHidden/>
              </w:rPr>
              <w:fldChar w:fldCharType="begin"/>
            </w:r>
            <w:r w:rsidR="00047DD5">
              <w:rPr>
                <w:noProof/>
                <w:webHidden/>
              </w:rPr>
              <w:instrText xml:space="preserve"> PAGEREF _Toc121229686 \h </w:instrText>
            </w:r>
            <w:r w:rsidR="00047DD5">
              <w:rPr>
                <w:noProof/>
                <w:webHidden/>
              </w:rPr>
            </w:r>
            <w:r w:rsidR="00047DD5">
              <w:rPr>
                <w:noProof/>
                <w:webHidden/>
              </w:rPr>
              <w:fldChar w:fldCharType="separate"/>
            </w:r>
            <w:r w:rsidR="00047DD5">
              <w:rPr>
                <w:noProof/>
                <w:webHidden/>
              </w:rPr>
              <w:t>3</w:t>
            </w:r>
            <w:r w:rsidR="00047DD5">
              <w:rPr>
                <w:noProof/>
                <w:webHidden/>
              </w:rPr>
              <w:fldChar w:fldCharType="end"/>
            </w:r>
          </w:hyperlink>
        </w:p>
        <w:p w14:paraId="178C2F08" w14:textId="60B53434" w:rsidR="00047DD5" w:rsidRDefault="008B037E">
          <w:pPr>
            <w:pStyle w:val="TOC3"/>
            <w:tabs>
              <w:tab w:val="right" w:leader="dot" w:pos="9629"/>
            </w:tabs>
            <w:rPr>
              <w:rFonts w:asciiTheme="minorHAnsi" w:eastAsiaTheme="minorEastAsia" w:hAnsiTheme="minorHAnsi"/>
              <w:noProof/>
              <w:sz w:val="22"/>
              <w:szCs w:val="22"/>
              <w:lang w:eastAsia="en-GB"/>
            </w:rPr>
          </w:pPr>
          <w:hyperlink w:anchor="_Toc121229687" w:history="1">
            <w:r w:rsidR="00047DD5" w:rsidRPr="00A34E9E">
              <w:rPr>
                <w:rStyle w:val="Hyperlink"/>
                <w:noProof/>
              </w:rPr>
              <w:t>Cost</w:t>
            </w:r>
            <w:r w:rsidR="00047DD5">
              <w:rPr>
                <w:noProof/>
                <w:webHidden/>
              </w:rPr>
              <w:tab/>
            </w:r>
            <w:r w:rsidR="00047DD5">
              <w:rPr>
                <w:noProof/>
                <w:webHidden/>
              </w:rPr>
              <w:fldChar w:fldCharType="begin"/>
            </w:r>
            <w:r w:rsidR="00047DD5">
              <w:rPr>
                <w:noProof/>
                <w:webHidden/>
              </w:rPr>
              <w:instrText xml:space="preserve"> PAGEREF _Toc121229687 \h </w:instrText>
            </w:r>
            <w:r w:rsidR="00047DD5">
              <w:rPr>
                <w:noProof/>
                <w:webHidden/>
              </w:rPr>
            </w:r>
            <w:r w:rsidR="00047DD5">
              <w:rPr>
                <w:noProof/>
                <w:webHidden/>
              </w:rPr>
              <w:fldChar w:fldCharType="separate"/>
            </w:r>
            <w:r w:rsidR="00047DD5">
              <w:rPr>
                <w:noProof/>
                <w:webHidden/>
              </w:rPr>
              <w:t>4</w:t>
            </w:r>
            <w:r w:rsidR="00047DD5">
              <w:rPr>
                <w:noProof/>
                <w:webHidden/>
              </w:rPr>
              <w:fldChar w:fldCharType="end"/>
            </w:r>
          </w:hyperlink>
        </w:p>
        <w:p w14:paraId="77F511F5" w14:textId="204E96E0" w:rsidR="00047DD5" w:rsidRDefault="008B037E">
          <w:pPr>
            <w:pStyle w:val="TOC3"/>
            <w:tabs>
              <w:tab w:val="right" w:leader="dot" w:pos="9629"/>
            </w:tabs>
            <w:rPr>
              <w:rFonts w:asciiTheme="minorHAnsi" w:eastAsiaTheme="minorEastAsia" w:hAnsiTheme="minorHAnsi"/>
              <w:noProof/>
              <w:sz w:val="22"/>
              <w:szCs w:val="22"/>
              <w:lang w:eastAsia="en-GB"/>
            </w:rPr>
          </w:pPr>
          <w:hyperlink w:anchor="_Toc121229688" w:history="1">
            <w:r w:rsidR="00047DD5" w:rsidRPr="00A34E9E">
              <w:rPr>
                <w:rStyle w:val="Hyperlink"/>
                <w:noProof/>
              </w:rPr>
              <w:t>Quality</w:t>
            </w:r>
            <w:r w:rsidR="00047DD5">
              <w:rPr>
                <w:noProof/>
                <w:webHidden/>
              </w:rPr>
              <w:tab/>
            </w:r>
            <w:r w:rsidR="00047DD5">
              <w:rPr>
                <w:noProof/>
                <w:webHidden/>
              </w:rPr>
              <w:fldChar w:fldCharType="begin"/>
            </w:r>
            <w:r w:rsidR="00047DD5">
              <w:rPr>
                <w:noProof/>
                <w:webHidden/>
              </w:rPr>
              <w:instrText xml:space="preserve"> PAGEREF _Toc121229688 \h </w:instrText>
            </w:r>
            <w:r w:rsidR="00047DD5">
              <w:rPr>
                <w:noProof/>
                <w:webHidden/>
              </w:rPr>
            </w:r>
            <w:r w:rsidR="00047DD5">
              <w:rPr>
                <w:noProof/>
                <w:webHidden/>
              </w:rPr>
              <w:fldChar w:fldCharType="separate"/>
            </w:r>
            <w:r w:rsidR="00047DD5">
              <w:rPr>
                <w:noProof/>
                <w:webHidden/>
              </w:rPr>
              <w:t>4</w:t>
            </w:r>
            <w:r w:rsidR="00047DD5">
              <w:rPr>
                <w:noProof/>
                <w:webHidden/>
              </w:rPr>
              <w:fldChar w:fldCharType="end"/>
            </w:r>
          </w:hyperlink>
        </w:p>
        <w:p w14:paraId="6187800E" w14:textId="01FEC075" w:rsidR="00047DD5" w:rsidRDefault="00047DD5">
          <w:r>
            <w:rPr>
              <w:b/>
              <w:bCs/>
              <w:noProof/>
            </w:rPr>
            <w:fldChar w:fldCharType="end"/>
          </w:r>
        </w:p>
      </w:sdtContent>
    </w:sdt>
    <w:p w14:paraId="657E768F" w14:textId="3F972C3C" w:rsidR="0058391B" w:rsidRDefault="0058391B" w:rsidP="00877471">
      <w:pPr>
        <w:pStyle w:val="Heading3"/>
        <w:ind w:hanging="284"/>
      </w:pPr>
      <w:bookmarkStart w:id="0" w:name="_Toc121229683"/>
      <w:r>
        <w:t>Children in care</w:t>
      </w:r>
      <w:bookmarkEnd w:id="0"/>
    </w:p>
    <w:p w14:paraId="2588D3F0" w14:textId="6B2A2C61" w:rsidR="0058391B" w:rsidRPr="002A30D8" w:rsidRDefault="0058391B" w:rsidP="0058391B">
      <w:pPr>
        <w:pStyle w:val="ListParagraph"/>
        <w:numPr>
          <w:ilvl w:val="0"/>
          <w:numId w:val="20"/>
        </w:numPr>
        <w:rPr>
          <w:sz w:val="22"/>
          <w:szCs w:val="22"/>
        </w:rPr>
      </w:pPr>
      <w:r w:rsidRPr="002A30D8">
        <w:rPr>
          <w:sz w:val="22"/>
          <w:szCs w:val="22"/>
        </w:rPr>
        <w:t>On 31 March 202</w:t>
      </w:r>
      <w:r w:rsidR="00FB371C" w:rsidRPr="002A30D8">
        <w:rPr>
          <w:sz w:val="22"/>
          <w:szCs w:val="22"/>
        </w:rPr>
        <w:t>2</w:t>
      </w:r>
      <w:r w:rsidRPr="002A30D8">
        <w:rPr>
          <w:sz w:val="22"/>
          <w:szCs w:val="22"/>
        </w:rPr>
        <w:t xml:space="preserve">, there were </w:t>
      </w:r>
      <w:r w:rsidR="00C83F58" w:rsidRPr="002A30D8">
        <w:rPr>
          <w:sz w:val="22"/>
          <w:szCs w:val="22"/>
        </w:rPr>
        <w:t>82,170</w:t>
      </w:r>
      <w:r w:rsidRPr="002A30D8">
        <w:rPr>
          <w:sz w:val="22"/>
          <w:szCs w:val="22"/>
        </w:rPr>
        <w:t xml:space="preserve"> children in the care of their local council. 56 per cent of these children were male.</w:t>
      </w:r>
    </w:p>
    <w:p w14:paraId="7FA8313C" w14:textId="51F463ED" w:rsidR="00766FC6" w:rsidRPr="002A30D8" w:rsidRDefault="005C3F0D" w:rsidP="00766FC6">
      <w:pPr>
        <w:pStyle w:val="ListParagraph"/>
        <w:numPr>
          <w:ilvl w:val="0"/>
          <w:numId w:val="20"/>
        </w:numPr>
        <w:rPr>
          <w:sz w:val="22"/>
          <w:szCs w:val="22"/>
        </w:rPr>
      </w:pPr>
      <w:r w:rsidRPr="002A30D8">
        <w:rPr>
          <w:sz w:val="22"/>
          <w:szCs w:val="22"/>
        </w:rPr>
        <w:t>Age of children in care:</w:t>
      </w:r>
    </w:p>
    <w:tbl>
      <w:tblPr>
        <w:tblStyle w:val="TableGrid"/>
        <w:tblW w:w="0" w:type="auto"/>
        <w:tblInd w:w="266" w:type="dxa"/>
        <w:tblLook w:val="04A0" w:firstRow="1" w:lastRow="0" w:firstColumn="1" w:lastColumn="0" w:noHBand="0" w:noVBand="1"/>
      </w:tblPr>
      <w:tblGrid>
        <w:gridCol w:w="1328"/>
        <w:gridCol w:w="2796"/>
        <w:gridCol w:w="2976"/>
        <w:gridCol w:w="2263"/>
      </w:tblGrid>
      <w:tr w:rsidR="00766FC6" w:rsidRPr="002A30D8" w14:paraId="2436A6A4" w14:textId="2A4E85C9" w:rsidTr="00766FC6">
        <w:tc>
          <w:tcPr>
            <w:tcW w:w="1328" w:type="dxa"/>
            <w:shd w:val="clear" w:color="auto" w:fill="BFBFBF" w:themeFill="background1" w:themeFillShade="BF"/>
          </w:tcPr>
          <w:p w14:paraId="6921786B" w14:textId="61BF976C" w:rsidR="00766FC6" w:rsidRPr="002A30D8" w:rsidRDefault="00766FC6" w:rsidP="00766FC6">
            <w:pPr>
              <w:pStyle w:val="ListParagraph"/>
              <w:ind w:left="0" w:firstLine="0"/>
              <w:rPr>
                <w:sz w:val="22"/>
                <w:szCs w:val="22"/>
              </w:rPr>
            </w:pPr>
            <w:r w:rsidRPr="002A30D8">
              <w:rPr>
                <w:sz w:val="22"/>
                <w:szCs w:val="22"/>
              </w:rPr>
              <w:t>Age</w:t>
            </w:r>
          </w:p>
        </w:tc>
        <w:tc>
          <w:tcPr>
            <w:tcW w:w="2796" w:type="dxa"/>
            <w:shd w:val="clear" w:color="auto" w:fill="D9D9D9" w:themeFill="background1" w:themeFillShade="D9"/>
          </w:tcPr>
          <w:p w14:paraId="441587D3" w14:textId="751EE723" w:rsidR="00766FC6" w:rsidRPr="002A30D8" w:rsidRDefault="00766FC6" w:rsidP="00766FC6">
            <w:pPr>
              <w:pStyle w:val="ListParagraph"/>
              <w:ind w:left="0" w:firstLine="0"/>
              <w:rPr>
                <w:sz w:val="22"/>
                <w:szCs w:val="22"/>
              </w:rPr>
            </w:pPr>
            <w:r w:rsidRPr="002A30D8">
              <w:rPr>
                <w:sz w:val="22"/>
                <w:szCs w:val="22"/>
              </w:rPr>
              <w:t xml:space="preserve">Percentage of children in care – </w:t>
            </w:r>
            <w:hyperlink r:id="rId12" w:history="1">
              <w:r w:rsidRPr="002A30D8">
                <w:rPr>
                  <w:rStyle w:val="Hyperlink"/>
                  <w:sz w:val="22"/>
                  <w:szCs w:val="22"/>
                </w:rPr>
                <w:t>2011</w:t>
              </w:r>
            </w:hyperlink>
            <w:r w:rsidRPr="002A30D8">
              <w:rPr>
                <w:sz w:val="22"/>
                <w:szCs w:val="22"/>
              </w:rPr>
              <w:t xml:space="preserve"> (number)</w:t>
            </w:r>
          </w:p>
        </w:tc>
        <w:tc>
          <w:tcPr>
            <w:tcW w:w="2976" w:type="dxa"/>
            <w:shd w:val="clear" w:color="auto" w:fill="D9D9D9" w:themeFill="background1" w:themeFillShade="D9"/>
          </w:tcPr>
          <w:p w14:paraId="09087329" w14:textId="77A6659E" w:rsidR="00766FC6" w:rsidRPr="002A30D8" w:rsidRDefault="00766FC6" w:rsidP="00766FC6">
            <w:pPr>
              <w:pStyle w:val="ListParagraph"/>
              <w:ind w:left="0" w:firstLine="0"/>
              <w:rPr>
                <w:sz w:val="22"/>
                <w:szCs w:val="22"/>
              </w:rPr>
            </w:pPr>
            <w:r w:rsidRPr="002A30D8">
              <w:rPr>
                <w:sz w:val="22"/>
                <w:szCs w:val="22"/>
              </w:rPr>
              <w:t xml:space="preserve">Percentage of children in care – </w:t>
            </w:r>
            <w:hyperlink r:id="rId13" w:history="1">
              <w:r w:rsidRPr="002A30D8">
                <w:rPr>
                  <w:rStyle w:val="Hyperlink"/>
                  <w:sz w:val="22"/>
                  <w:szCs w:val="22"/>
                </w:rPr>
                <w:t>2021</w:t>
              </w:r>
            </w:hyperlink>
            <w:r w:rsidRPr="002A30D8">
              <w:rPr>
                <w:sz w:val="22"/>
                <w:szCs w:val="22"/>
              </w:rPr>
              <w:t xml:space="preserve"> (number)</w:t>
            </w:r>
          </w:p>
        </w:tc>
        <w:tc>
          <w:tcPr>
            <w:tcW w:w="2263" w:type="dxa"/>
            <w:shd w:val="clear" w:color="auto" w:fill="D9D9D9" w:themeFill="background1" w:themeFillShade="D9"/>
          </w:tcPr>
          <w:p w14:paraId="216F340E" w14:textId="17B5F021" w:rsidR="00766FC6" w:rsidRPr="002A30D8" w:rsidRDefault="00766FC6" w:rsidP="00766FC6">
            <w:pPr>
              <w:pStyle w:val="ListParagraph"/>
              <w:ind w:left="0" w:firstLine="0"/>
              <w:rPr>
                <w:sz w:val="22"/>
                <w:szCs w:val="22"/>
              </w:rPr>
            </w:pPr>
            <w:r w:rsidRPr="002A30D8">
              <w:rPr>
                <w:sz w:val="22"/>
                <w:szCs w:val="22"/>
              </w:rPr>
              <w:t>Increase/decrease in percentage</w:t>
            </w:r>
          </w:p>
        </w:tc>
      </w:tr>
      <w:tr w:rsidR="00766FC6" w:rsidRPr="002A30D8" w14:paraId="315D3F0D" w14:textId="5FA261E4" w:rsidTr="00766FC6">
        <w:tc>
          <w:tcPr>
            <w:tcW w:w="1328" w:type="dxa"/>
            <w:shd w:val="clear" w:color="auto" w:fill="BFBFBF" w:themeFill="background1" w:themeFillShade="BF"/>
          </w:tcPr>
          <w:p w14:paraId="5FA3A4A3" w14:textId="2F7873A7" w:rsidR="00766FC6" w:rsidRPr="002A30D8" w:rsidRDefault="00766FC6" w:rsidP="00766FC6">
            <w:pPr>
              <w:pStyle w:val="ListParagraph"/>
              <w:ind w:left="0" w:firstLine="0"/>
              <w:rPr>
                <w:sz w:val="22"/>
                <w:szCs w:val="22"/>
              </w:rPr>
            </w:pPr>
            <w:r w:rsidRPr="002A30D8">
              <w:rPr>
                <w:sz w:val="22"/>
                <w:szCs w:val="22"/>
              </w:rPr>
              <w:t>Under 1</w:t>
            </w:r>
          </w:p>
        </w:tc>
        <w:tc>
          <w:tcPr>
            <w:tcW w:w="2796" w:type="dxa"/>
          </w:tcPr>
          <w:p w14:paraId="23EFF0DC" w14:textId="482F5EAE" w:rsidR="00766FC6" w:rsidRPr="002A30D8" w:rsidRDefault="00766FC6" w:rsidP="00766FC6">
            <w:pPr>
              <w:pStyle w:val="ListParagraph"/>
              <w:ind w:left="0" w:firstLine="0"/>
              <w:rPr>
                <w:sz w:val="22"/>
                <w:szCs w:val="22"/>
              </w:rPr>
            </w:pPr>
            <w:r w:rsidRPr="002A30D8">
              <w:rPr>
                <w:sz w:val="22"/>
                <w:szCs w:val="22"/>
              </w:rPr>
              <w:t>6 (3,660)</w:t>
            </w:r>
          </w:p>
        </w:tc>
        <w:tc>
          <w:tcPr>
            <w:tcW w:w="2976" w:type="dxa"/>
          </w:tcPr>
          <w:p w14:paraId="46F7F420" w14:textId="1DB4C034" w:rsidR="00766FC6" w:rsidRPr="002A30D8" w:rsidRDefault="00DD54F3" w:rsidP="00766FC6">
            <w:pPr>
              <w:pStyle w:val="ListParagraph"/>
              <w:ind w:left="0" w:firstLine="0"/>
              <w:rPr>
                <w:sz w:val="22"/>
                <w:szCs w:val="22"/>
              </w:rPr>
            </w:pPr>
            <w:r w:rsidRPr="002A30D8">
              <w:rPr>
                <w:sz w:val="22"/>
                <w:szCs w:val="22"/>
              </w:rPr>
              <w:t xml:space="preserve">5 </w:t>
            </w:r>
            <w:r w:rsidR="00D31758" w:rsidRPr="002A30D8">
              <w:rPr>
                <w:sz w:val="22"/>
                <w:szCs w:val="22"/>
              </w:rPr>
              <w:t>(3,970)</w:t>
            </w:r>
          </w:p>
        </w:tc>
        <w:tc>
          <w:tcPr>
            <w:tcW w:w="2263" w:type="dxa"/>
          </w:tcPr>
          <w:p w14:paraId="73924EED" w14:textId="07916D1B" w:rsidR="00766FC6" w:rsidRPr="002A30D8" w:rsidRDefault="00766FC6" w:rsidP="00766FC6">
            <w:pPr>
              <w:pStyle w:val="ListParagraph"/>
              <w:ind w:left="0" w:firstLine="0"/>
              <w:rPr>
                <w:b/>
                <w:bCs/>
                <w:sz w:val="22"/>
                <w:szCs w:val="22"/>
              </w:rPr>
            </w:pPr>
            <w:r w:rsidRPr="002A30D8">
              <w:rPr>
                <w:rFonts w:cs="Arial"/>
                <w:b/>
                <w:bCs/>
                <w:sz w:val="22"/>
                <w:szCs w:val="22"/>
              </w:rPr>
              <w:t>↓</w:t>
            </w:r>
          </w:p>
        </w:tc>
      </w:tr>
      <w:tr w:rsidR="00766FC6" w:rsidRPr="002A30D8" w14:paraId="6F17398F" w14:textId="470D6FB3" w:rsidTr="00766FC6">
        <w:tc>
          <w:tcPr>
            <w:tcW w:w="1328" w:type="dxa"/>
            <w:shd w:val="clear" w:color="auto" w:fill="BFBFBF" w:themeFill="background1" w:themeFillShade="BF"/>
          </w:tcPr>
          <w:p w14:paraId="61489DE0" w14:textId="7AA72A38" w:rsidR="00766FC6" w:rsidRPr="002A30D8" w:rsidRDefault="00766FC6" w:rsidP="00766FC6">
            <w:pPr>
              <w:pStyle w:val="ListParagraph"/>
              <w:ind w:left="0" w:firstLine="0"/>
              <w:rPr>
                <w:sz w:val="22"/>
                <w:szCs w:val="22"/>
              </w:rPr>
            </w:pPr>
            <w:r w:rsidRPr="002A30D8">
              <w:rPr>
                <w:sz w:val="22"/>
                <w:szCs w:val="22"/>
              </w:rPr>
              <w:t>1-4</w:t>
            </w:r>
          </w:p>
        </w:tc>
        <w:tc>
          <w:tcPr>
            <w:tcW w:w="2796" w:type="dxa"/>
          </w:tcPr>
          <w:p w14:paraId="39DD9782" w14:textId="7CD9D5DB" w:rsidR="00766FC6" w:rsidRPr="002A30D8" w:rsidRDefault="00766FC6" w:rsidP="00766FC6">
            <w:pPr>
              <w:pStyle w:val="ListParagraph"/>
              <w:ind w:left="0" w:firstLine="0"/>
              <w:rPr>
                <w:sz w:val="22"/>
                <w:szCs w:val="22"/>
              </w:rPr>
            </w:pPr>
            <w:r w:rsidRPr="002A30D8">
              <w:rPr>
                <w:sz w:val="22"/>
                <w:szCs w:val="22"/>
              </w:rPr>
              <w:t>18 (12,020)</w:t>
            </w:r>
          </w:p>
        </w:tc>
        <w:tc>
          <w:tcPr>
            <w:tcW w:w="2976" w:type="dxa"/>
          </w:tcPr>
          <w:p w14:paraId="050A16BE" w14:textId="13661922" w:rsidR="00766FC6" w:rsidRPr="002A30D8" w:rsidRDefault="00DD54F3" w:rsidP="00766FC6">
            <w:pPr>
              <w:pStyle w:val="ListParagraph"/>
              <w:ind w:left="0" w:firstLine="0"/>
              <w:rPr>
                <w:sz w:val="22"/>
                <w:szCs w:val="22"/>
              </w:rPr>
            </w:pPr>
            <w:r w:rsidRPr="002A30D8">
              <w:rPr>
                <w:sz w:val="22"/>
                <w:szCs w:val="22"/>
              </w:rPr>
              <w:t xml:space="preserve">14 </w:t>
            </w:r>
            <w:r w:rsidR="00D31758" w:rsidRPr="002A30D8">
              <w:rPr>
                <w:sz w:val="22"/>
                <w:szCs w:val="22"/>
              </w:rPr>
              <w:t>(11,350)</w:t>
            </w:r>
          </w:p>
        </w:tc>
        <w:tc>
          <w:tcPr>
            <w:tcW w:w="2263" w:type="dxa"/>
          </w:tcPr>
          <w:p w14:paraId="69830A81" w14:textId="62E9A048" w:rsidR="00766FC6" w:rsidRPr="002A30D8" w:rsidRDefault="00766FC6" w:rsidP="00766FC6">
            <w:pPr>
              <w:pStyle w:val="ListParagraph"/>
              <w:ind w:left="0" w:firstLine="0"/>
              <w:rPr>
                <w:b/>
                <w:bCs/>
                <w:sz w:val="22"/>
                <w:szCs w:val="22"/>
              </w:rPr>
            </w:pPr>
            <w:r w:rsidRPr="002A30D8">
              <w:rPr>
                <w:rFonts w:cs="Arial"/>
                <w:b/>
                <w:bCs/>
                <w:sz w:val="22"/>
                <w:szCs w:val="22"/>
              </w:rPr>
              <w:t>↓</w:t>
            </w:r>
          </w:p>
        </w:tc>
      </w:tr>
      <w:tr w:rsidR="00766FC6" w:rsidRPr="002A30D8" w14:paraId="56E70468" w14:textId="5DF027BA" w:rsidTr="00766FC6">
        <w:tc>
          <w:tcPr>
            <w:tcW w:w="1328" w:type="dxa"/>
            <w:shd w:val="clear" w:color="auto" w:fill="BFBFBF" w:themeFill="background1" w:themeFillShade="BF"/>
          </w:tcPr>
          <w:p w14:paraId="6908082D" w14:textId="1454AEF8" w:rsidR="00766FC6" w:rsidRPr="002A30D8" w:rsidRDefault="00766FC6" w:rsidP="00766FC6">
            <w:pPr>
              <w:pStyle w:val="ListParagraph"/>
              <w:ind w:left="0" w:firstLine="0"/>
              <w:rPr>
                <w:sz w:val="22"/>
                <w:szCs w:val="22"/>
              </w:rPr>
            </w:pPr>
            <w:r w:rsidRPr="002A30D8">
              <w:rPr>
                <w:sz w:val="22"/>
                <w:szCs w:val="22"/>
              </w:rPr>
              <w:t>5-9</w:t>
            </w:r>
          </w:p>
        </w:tc>
        <w:tc>
          <w:tcPr>
            <w:tcW w:w="2796" w:type="dxa"/>
          </w:tcPr>
          <w:p w14:paraId="742E8F78" w14:textId="4E68F674" w:rsidR="00766FC6" w:rsidRPr="002A30D8" w:rsidRDefault="00766FC6" w:rsidP="00766FC6">
            <w:pPr>
              <w:pStyle w:val="ListParagraph"/>
              <w:ind w:left="0" w:firstLine="0"/>
              <w:rPr>
                <w:sz w:val="22"/>
                <w:szCs w:val="22"/>
              </w:rPr>
            </w:pPr>
            <w:r w:rsidRPr="002A30D8">
              <w:rPr>
                <w:sz w:val="22"/>
                <w:szCs w:val="22"/>
              </w:rPr>
              <w:t>18 (11,830)</w:t>
            </w:r>
          </w:p>
        </w:tc>
        <w:tc>
          <w:tcPr>
            <w:tcW w:w="2976" w:type="dxa"/>
          </w:tcPr>
          <w:p w14:paraId="3942E8BA" w14:textId="38780A7A" w:rsidR="00766FC6" w:rsidRPr="002A30D8" w:rsidRDefault="00DD54F3" w:rsidP="00766FC6">
            <w:pPr>
              <w:pStyle w:val="ListParagraph"/>
              <w:ind w:left="0" w:firstLine="0"/>
              <w:rPr>
                <w:sz w:val="22"/>
                <w:szCs w:val="22"/>
              </w:rPr>
            </w:pPr>
            <w:r w:rsidRPr="002A30D8">
              <w:rPr>
                <w:sz w:val="22"/>
                <w:szCs w:val="22"/>
              </w:rPr>
              <w:t>18 (</w:t>
            </w:r>
            <w:r w:rsidR="00D31758" w:rsidRPr="002A30D8">
              <w:rPr>
                <w:sz w:val="22"/>
                <w:szCs w:val="22"/>
              </w:rPr>
              <w:t>14,890)</w:t>
            </w:r>
          </w:p>
        </w:tc>
        <w:tc>
          <w:tcPr>
            <w:tcW w:w="2263" w:type="dxa"/>
          </w:tcPr>
          <w:p w14:paraId="6130FB56" w14:textId="7E73672C" w:rsidR="00766FC6" w:rsidRPr="002A30D8" w:rsidRDefault="007D56AE" w:rsidP="00766FC6">
            <w:pPr>
              <w:pStyle w:val="ListParagraph"/>
              <w:ind w:left="0" w:firstLine="0"/>
              <w:rPr>
                <w:b/>
                <w:bCs/>
                <w:sz w:val="22"/>
                <w:szCs w:val="22"/>
              </w:rPr>
            </w:pPr>
            <w:r w:rsidRPr="002A30D8">
              <w:rPr>
                <w:rFonts w:cs="Arial"/>
                <w:b/>
                <w:bCs/>
                <w:sz w:val="22"/>
                <w:szCs w:val="22"/>
              </w:rPr>
              <w:t>↔</w:t>
            </w:r>
          </w:p>
        </w:tc>
      </w:tr>
      <w:tr w:rsidR="00766FC6" w:rsidRPr="002A30D8" w14:paraId="47423B20" w14:textId="0E5697B3" w:rsidTr="00766FC6">
        <w:tc>
          <w:tcPr>
            <w:tcW w:w="1328" w:type="dxa"/>
            <w:shd w:val="clear" w:color="auto" w:fill="BFBFBF" w:themeFill="background1" w:themeFillShade="BF"/>
          </w:tcPr>
          <w:p w14:paraId="77A0E5A4" w14:textId="43EE79CC" w:rsidR="00766FC6" w:rsidRPr="002A30D8" w:rsidRDefault="00766FC6" w:rsidP="00766FC6">
            <w:pPr>
              <w:pStyle w:val="ListParagraph"/>
              <w:ind w:left="0" w:firstLine="0"/>
              <w:rPr>
                <w:sz w:val="22"/>
                <w:szCs w:val="22"/>
              </w:rPr>
            </w:pPr>
            <w:r w:rsidRPr="002A30D8">
              <w:rPr>
                <w:sz w:val="22"/>
                <w:szCs w:val="22"/>
              </w:rPr>
              <w:t>10-15</w:t>
            </w:r>
          </w:p>
        </w:tc>
        <w:tc>
          <w:tcPr>
            <w:tcW w:w="2796" w:type="dxa"/>
          </w:tcPr>
          <w:p w14:paraId="7296B8F0" w14:textId="4990693E" w:rsidR="00766FC6" w:rsidRPr="002A30D8" w:rsidRDefault="00766FC6" w:rsidP="00766FC6">
            <w:pPr>
              <w:pStyle w:val="ListParagraph"/>
              <w:ind w:left="0" w:firstLine="0"/>
              <w:rPr>
                <w:sz w:val="22"/>
                <w:szCs w:val="22"/>
              </w:rPr>
            </w:pPr>
            <w:r w:rsidRPr="002A30D8">
              <w:rPr>
                <w:sz w:val="22"/>
                <w:szCs w:val="22"/>
              </w:rPr>
              <w:t>37 (24,160)</w:t>
            </w:r>
          </w:p>
        </w:tc>
        <w:tc>
          <w:tcPr>
            <w:tcW w:w="2976" w:type="dxa"/>
          </w:tcPr>
          <w:p w14:paraId="1B41D2D7" w14:textId="4E6268B7" w:rsidR="00766FC6" w:rsidRPr="002A30D8" w:rsidRDefault="00DD54F3" w:rsidP="00766FC6">
            <w:pPr>
              <w:pStyle w:val="ListParagraph"/>
              <w:ind w:left="0" w:firstLine="0"/>
              <w:rPr>
                <w:sz w:val="22"/>
                <w:szCs w:val="22"/>
              </w:rPr>
            </w:pPr>
            <w:r w:rsidRPr="002A30D8">
              <w:rPr>
                <w:sz w:val="22"/>
                <w:szCs w:val="22"/>
              </w:rPr>
              <w:t>39 (</w:t>
            </w:r>
            <w:r w:rsidR="00D31758" w:rsidRPr="002A30D8">
              <w:rPr>
                <w:sz w:val="22"/>
                <w:szCs w:val="22"/>
              </w:rPr>
              <w:t>31,700)</w:t>
            </w:r>
          </w:p>
        </w:tc>
        <w:tc>
          <w:tcPr>
            <w:tcW w:w="2263" w:type="dxa"/>
          </w:tcPr>
          <w:p w14:paraId="2B067656" w14:textId="4423B655" w:rsidR="00766FC6" w:rsidRPr="002A30D8" w:rsidRDefault="00766FC6" w:rsidP="00766FC6">
            <w:pPr>
              <w:pStyle w:val="ListParagraph"/>
              <w:ind w:left="0" w:firstLine="0"/>
              <w:rPr>
                <w:b/>
                <w:bCs/>
                <w:sz w:val="22"/>
                <w:szCs w:val="22"/>
              </w:rPr>
            </w:pPr>
            <w:r w:rsidRPr="002A30D8">
              <w:rPr>
                <w:rFonts w:cs="Arial"/>
                <w:b/>
                <w:bCs/>
                <w:sz w:val="22"/>
                <w:szCs w:val="22"/>
              </w:rPr>
              <w:t>↑</w:t>
            </w:r>
          </w:p>
        </w:tc>
      </w:tr>
      <w:tr w:rsidR="00766FC6" w:rsidRPr="002A30D8" w14:paraId="508F41CC" w14:textId="27AC037E" w:rsidTr="00766FC6">
        <w:tc>
          <w:tcPr>
            <w:tcW w:w="1328" w:type="dxa"/>
            <w:shd w:val="clear" w:color="auto" w:fill="BFBFBF" w:themeFill="background1" w:themeFillShade="BF"/>
          </w:tcPr>
          <w:p w14:paraId="52E31D3B" w14:textId="040BB351" w:rsidR="00766FC6" w:rsidRPr="002A30D8" w:rsidRDefault="00766FC6" w:rsidP="00766FC6">
            <w:pPr>
              <w:pStyle w:val="ListParagraph"/>
              <w:ind w:left="0" w:firstLine="0"/>
              <w:rPr>
                <w:sz w:val="22"/>
                <w:szCs w:val="22"/>
              </w:rPr>
            </w:pPr>
            <w:r w:rsidRPr="002A30D8">
              <w:rPr>
                <w:sz w:val="22"/>
                <w:szCs w:val="22"/>
              </w:rPr>
              <w:t>16+</w:t>
            </w:r>
          </w:p>
        </w:tc>
        <w:tc>
          <w:tcPr>
            <w:tcW w:w="2796" w:type="dxa"/>
          </w:tcPr>
          <w:p w14:paraId="6DE53BC5" w14:textId="64342C44" w:rsidR="00766FC6" w:rsidRPr="002A30D8" w:rsidRDefault="00766FC6" w:rsidP="00766FC6">
            <w:pPr>
              <w:pStyle w:val="ListParagraph"/>
              <w:ind w:left="0" w:firstLine="0"/>
              <w:rPr>
                <w:sz w:val="22"/>
                <w:szCs w:val="22"/>
              </w:rPr>
            </w:pPr>
            <w:r w:rsidRPr="002A30D8">
              <w:rPr>
                <w:sz w:val="22"/>
                <w:szCs w:val="22"/>
              </w:rPr>
              <w:t>21 (13,860)</w:t>
            </w:r>
          </w:p>
        </w:tc>
        <w:tc>
          <w:tcPr>
            <w:tcW w:w="2976" w:type="dxa"/>
          </w:tcPr>
          <w:p w14:paraId="0E32DE85" w14:textId="3DBB0F64" w:rsidR="00766FC6" w:rsidRPr="002A30D8" w:rsidRDefault="00DD54F3" w:rsidP="00766FC6">
            <w:pPr>
              <w:pStyle w:val="ListParagraph"/>
              <w:ind w:left="0" w:firstLine="0"/>
              <w:rPr>
                <w:sz w:val="22"/>
                <w:szCs w:val="22"/>
              </w:rPr>
            </w:pPr>
            <w:r w:rsidRPr="002A30D8">
              <w:rPr>
                <w:sz w:val="22"/>
                <w:szCs w:val="22"/>
              </w:rPr>
              <w:t>25 (20,260)</w:t>
            </w:r>
          </w:p>
        </w:tc>
        <w:tc>
          <w:tcPr>
            <w:tcW w:w="2263" w:type="dxa"/>
          </w:tcPr>
          <w:p w14:paraId="0D0EB099" w14:textId="3171929E" w:rsidR="00766FC6" w:rsidRPr="002A30D8" w:rsidRDefault="00766FC6" w:rsidP="00766FC6">
            <w:pPr>
              <w:pStyle w:val="ListParagraph"/>
              <w:ind w:left="0" w:firstLine="0"/>
              <w:rPr>
                <w:b/>
                <w:bCs/>
                <w:sz w:val="22"/>
                <w:szCs w:val="22"/>
              </w:rPr>
            </w:pPr>
            <w:r w:rsidRPr="002A30D8">
              <w:rPr>
                <w:rFonts w:cs="Arial"/>
                <w:b/>
                <w:bCs/>
                <w:sz w:val="22"/>
                <w:szCs w:val="22"/>
              </w:rPr>
              <w:t>↑</w:t>
            </w:r>
          </w:p>
        </w:tc>
      </w:tr>
    </w:tbl>
    <w:p w14:paraId="692F27CB" w14:textId="77777777" w:rsidR="0058391B" w:rsidRDefault="0058391B" w:rsidP="0058391B">
      <w:pPr>
        <w:pStyle w:val="ListParagraph"/>
        <w:ind w:left="266" w:firstLine="0"/>
      </w:pPr>
    </w:p>
    <w:p w14:paraId="16C7BFE9" w14:textId="27AA6E7D" w:rsidR="0058391B" w:rsidRPr="002A30D8" w:rsidRDefault="0058391B" w:rsidP="0058391B">
      <w:pPr>
        <w:pStyle w:val="ListParagraph"/>
        <w:numPr>
          <w:ilvl w:val="0"/>
          <w:numId w:val="20"/>
        </w:numPr>
        <w:rPr>
          <w:sz w:val="22"/>
          <w:szCs w:val="22"/>
        </w:rPr>
      </w:pPr>
      <w:r w:rsidRPr="002A30D8">
        <w:rPr>
          <w:sz w:val="22"/>
          <w:szCs w:val="22"/>
        </w:rPr>
        <w:t>Ethnicity of children in care</w:t>
      </w:r>
      <w:r w:rsidR="005C3F0D" w:rsidRPr="002A30D8">
        <w:rPr>
          <w:sz w:val="22"/>
          <w:szCs w:val="22"/>
        </w:rPr>
        <w:t>:</w:t>
      </w:r>
    </w:p>
    <w:tbl>
      <w:tblPr>
        <w:tblStyle w:val="TableGrid"/>
        <w:tblW w:w="0" w:type="auto"/>
        <w:tblInd w:w="266" w:type="dxa"/>
        <w:tblLook w:val="04A0" w:firstRow="1" w:lastRow="0" w:firstColumn="1" w:lastColumn="0" w:noHBand="0" w:noVBand="1"/>
      </w:tblPr>
      <w:tblGrid>
        <w:gridCol w:w="2564"/>
        <w:gridCol w:w="2410"/>
        <w:gridCol w:w="2130"/>
        <w:gridCol w:w="2259"/>
      </w:tblGrid>
      <w:tr w:rsidR="00592560" w:rsidRPr="002A30D8" w14:paraId="0B1196F1" w14:textId="77777777" w:rsidTr="000C58F5">
        <w:tc>
          <w:tcPr>
            <w:tcW w:w="2564" w:type="dxa"/>
            <w:shd w:val="clear" w:color="auto" w:fill="BFBFBF" w:themeFill="background1" w:themeFillShade="BF"/>
          </w:tcPr>
          <w:p w14:paraId="448B904D" w14:textId="26AE1F5F" w:rsidR="00766FC6" w:rsidRPr="002A30D8" w:rsidRDefault="00766FC6" w:rsidP="007147FD">
            <w:pPr>
              <w:pStyle w:val="ListParagraph"/>
              <w:ind w:left="0" w:firstLine="0"/>
              <w:rPr>
                <w:sz w:val="22"/>
                <w:szCs w:val="22"/>
              </w:rPr>
            </w:pPr>
            <w:r w:rsidRPr="002A30D8">
              <w:rPr>
                <w:sz w:val="22"/>
                <w:szCs w:val="22"/>
              </w:rPr>
              <w:t>Ethnicity</w:t>
            </w:r>
          </w:p>
        </w:tc>
        <w:tc>
          <w:tcPr>
            <w:tcW w:w="2410" w:type="dxa"/>
            <w:shd w:val="clear" w:color="auto" w:fill="D9D9D9" w:themeFill="background1" w:themeFillShade="D9"/>
          </w:tcPr>
          <w:p w14:paraId="392BAB0C" w14:textId="77777777" w:rsidR="00766FC6" w:rsidRPr="002A30D8" w:rsidRDefault="00766FC6" w:rsidP="007147FD">
            <w:pPr>
              <w:pStyle w:val="ListParagraph"/>
              <w:ind w:left="0" w:firstLine="0"/>
              <w:rPr>
                <w:sz w:val="22"/>
                <w:szCs w:val="22"/>
              </w:rPr>
            </w:pPr>
            <w:r w:rsidRPr="002A30D8">
              <w:rPr>
                <w:sz w:val="22"/>
                <w:szCs w:val="22"/>
              </w:rPr>
              <w:t xml:space="preserve">Percentage of children in care – </w:t>
            </w:r>
            <w:hyperlink r:id="rId14" w:history="1">
              <w:r w:rsidRPr="002A30D8">
                <w:rPr>
                  <w:rStyle w:val="Hyperlink"/>
                  <w:sz w:val="22"/>
                  <w:szCs w:val="22"/>
                </w:rPr>
                <w:t>2011</w:t>
              </w:r>
            </w:hyperlink>
            <w:r w:rsidRPr="002A30D8">
              <w:rPr>
                <w:sz w:val="22"/>
                <w:szCs w:val="22"/>
              </w:rPr>
              <w:t xml:space="preserve"> (number)</w:t>
            </w:r>
          </w:p>
        </w:tc>
        <w:tc>
          <w:tcPr>
            <w:tcW w:w="2130" w:type="dxa"/>
            <w:shd w:val="clear" w:color="auto" w:fill="D9D9D9" w:themeFill="background1" w:themeFillShade="D9"/>
          </w:tcPr>
          <w:p w14:paraId="5B4DB35D" w14:textId="3D31936B" w:rsidR="00766FC6" w:rsidRPr="002A30D8" w:rsidRDefault="00766FC6" w:rsidP="007147FD">
            <w:pPr>
              <w:pStyle w:val="ListParagraph"/>
              <w:ind w:left="0" w:firstLine="0"/>
              <w:rPr>
                <w:sz w:val="22"/>
                <w:szCs w:val="22"/>
              </w:rPr>
            </w:pPr>
            <w:r w:rsidRPr="002A30D8">
              <w:rPr>
                <w:sz w:val="22"/>
                <w:szCs w:val="22"/>
              </w:rPr>
              <w:t xml:space="preserve">Percentage of children in care – </w:t>
            </w:r>
            <w:hyperlink r:id="rId15" w:history="1">
              <w:r w:rsidRPr="002A30D8">
                <w:rPr>
                  <w:rStyle w:val="Hyperlink"/>
                  <w:sz w:val="22"/>
                  <w:szCs w:val="22"/>
                </w:rPr>
                <w:t>202</w:t>
              </w:r>
              <w:r w:rsidR="003E6D81" w:rsidRPr="002A30D8">
                <w:rPr>
                  <w:rStyle w:val="Hyperlink"/>
                  <w:sz w:val="22"/>
                  <w:szCs w:val="22"/>
                </w:rPr>
                <w:t>2</w:t>
              </w:r>
            </w:hyperlink>
            <w:r w:rsidRPr="002A30D8">
              <w:rPr>
                <w:sz w:val="22"/>
                <w:szCs w:val="22"/>
              </w:rPr>
              <w:t xml:space="preserve"> (number)</w:t>
            </w:r>
          </w:p>
        </w:tc>
        <w:tc>
          <w:tcPr>
            <w:tcW w:w="2259" w:type="dxa"/>
            <w:shd w:val="clear" w:color="auto" w:fill="D9D9D9" w:themeFill="background1" w:themeFillShade="D9"/>
          </w:tcPr>
          <w:p w14:paraId="4EE6E5FA" w14:textId="77777777" w:rsidR="00766FC6" w:rsidRPr="002A30D8" w:rsidRDefault="00766FC6" w:rsidP="007147FD">
            <w:pPr>
              <w:pStyle w:val="ListParagraph"/>
              <w:ind w:left="0" w:firstLine="0"/>
              <w:rPr>
                <w:sz w:val="22"/>
                <w:szCs w:val="22"/>
              </w:rPr>
            </w:pPr>
            <w:r w:rsidRPr="002A30D8">
              <w:rPr>
                <w:sz w:val="22"/>
                <w:szCs w:val="22"/>
              </w:rPr>
              <w:t>Increase/decrease in percentage</w:t>
            </w:r>
          </w:p>
        </w:tc>
      </w:tr>
      <w:tr w:rsidR="00766FC6" w:rsidRPr="002A30D8" w14:paraId="531953E4" w14:textId="77777777" w:rsidTr="000C58F5">
        <w:tc>
          <w:tcPr>
            <w:tcW w:w="2564" w:type="dxa"/>
            <w:shd w:val="clear" w:color="auto" w:fill="BFBFBF" w:themeFill="background1" w:themeFillShade="BF"/>
          </w:tcPr>
          <w:p w14:paraId="3CD85D57" w14:textId="02A8F537" w:rsidR="00766FC6" w:rsidRPr="002A30D8" w:rsidRDefault="00766FC6" w:rsidP="007147FD">
            <w:pPr>
              <w:pStyle w:val="ListParagraph"/>
              <w:ind w:left="0" w:firstLine="0"/>
              <w:rPr>
                <w:sz w:val="22"/>
                <w:szCs w:val="22"/>
              </w:rPr>
            </w:pPr>
            <w:r w:rsidRPr="002A30D8">
              <w:rPr>
                <w:sz w:val="22"/>
                <w:szCs w:val="22"/>
              </w:rPr>
              <w:t>White</w:t>
            </w:r>
          </w:p>
        </w:tc>
        <w:tc>
          <w:tcPr>
            <w:tcW w:w="2410" w:type="dxa"/>
          </w:tcPr>
          <w:p w14:paraId="53819883" w14:textId="4EED48EE" w:rsidR="00766FC6" w:rsidRPr="002A30D8" w:rsidRDefault="00766FC6" w:rsidP="007147FD">
            <w:pPr>
              <w:pStyle w:val="ListParagraph"/>
              <w:ind w:left="0" w:firstLine="0"/>
              <w:rPr>
                <w:sz w:val="22"/>
                <w:szCs w:val="22"/>
              </w:rPr>
            </w:pPr>
            <w:r w:rsidRPr="002A30D8">
              <w:rPr>
                <w:sz w:val="22"/>
                <w:szCs w:val="22"/>
              </w:rPr>
              <w:t>77</w:t>
            </w:r>
            <w:r w:rsidR="00592560" w:rsidRPr="002A30D8">
              <w:rPr>
                <w:sz w:val="22"/>
                <w:szCs w:val="22"/>
              </w:rPr>
              <w:t xml:space="preserve"> (50,340)</w:t>
            </w:r>
          </w:p>
        </w:tc>
        <w:tc>
          <w:tcPr>
            <w:tcW w:w="2130" w:type="dxa"/>
          </w:tcPr>
          <w:p w14:paraId="2DC4C57D" w14:textId="3CC8F957" w:rsidR="00766FC6" w:rsidRPr="002A30D8" w:rsidRDefault="004759B0" w:rsidP="007147FD">
            <w:pPr>
              <w:pStyle w:val="ListParagraph"/>
              <w:ind w:left="0" w:firstLine="0"/>
              <w:rPr>
                <w:sz w:val="22"/>
                <w:szCs w:val="22"/>
              </w:rPr>
            </w:pPr>
            <w:r w:rsidRPr="002A30D8">
              <w:rPr>
                <w:sz w:val="22"/>
                <w:szCs w:val="22"/>
              </w:rPr>
              <w:t xml:space="preserve">73 </w:t>
            </w:r>
            <w:r w:rsidR="00593693" w:rsidRPr="002A30D8">
              <w:rPr>
                <w:sz w:val="22"/>
                <w:szCs w:val="22"/>
              </w:rPr>
              <w:t>(59,880)</w:t>
            </w:r>
          </w:p>
        </w:tc>
        <w:tc>
          <w:tcPr>
            <w:tcW w:w="2259" w:type="dxa"/>
          </w:tcPr>
          <w:p w14:paraId="70D91576" w14:textId="77777777" w:rsidR="00766FC6" w:rsidRPr="002A30D8" w:rsidRDefault="00766FC6" w:rsidP="007147FD">
            <w:pPr>
              <w:pStyle w:val="ListParagraph"/>
              <w:ind w:left="0" w:firstLine="0"/>
              <w:rPr>
                <w:b/>
                <w:bCs/>
                <w:sz w:val="22"/>
                <w:szCs w:val="22"/>
              </w:rPr>
            </w:pPr>
            <w:r w:rsidRPr="002A30D8">
              <w:rPr>
                <w:rFonts w:cs="Arial"/>
                <w:b/>
                <w:bCs/>
                <w:sz w:val="22"/>
                <w:szCs w:val="22"/>
              </w:rPr>
              <w:t>↓</w:t>
            </w:r>
          </w:p>
        </w:tc>
      </w:tr>
      <w:tr w:rsidR="00766FC6" w:rsidRPr="002A30D8" w14:paraId="5A7550A2" w14:textId="77777777" w:rsidTr="000C58F5">
        <w:tc>
          <w:tcPr>
            <w:tcW w:w="2564" w:type="dxa"/>
            <w:shd w:val="clear" w:color="auto" w:fill="BFBFBF" w:themeFill="background1" w:themeFillShade="BF"/>
          </w:tcPr>
          <w:p w14:paraId="0DB42DC5" w14:textId="71EEA923" w:rsidR="00766FC6" w:rsidRPr="002A30D8" w:rsidRDefault="00766FC6" w:rsidP="007147FD">
            <w:pPr>
              <w:pStyle w:val="ListParagraph"/>
              <w:ind w:left="0" w:firstLine="0"/>
              <w:rPr>
                <w:sz w:val="22"/>
                <w:szCs w:val="22"/>
              </w:rPr>
            </w:pPr>
            <w:r w:rsidRPr="002A30D8">
              <w:rPr>
                <w:sz w:val="22"/>
                <w:szCs w:val="22"/>
              </w:rPr>
              <w:lastRenderedPageBreak/>
              <w:t>Mixed</w:t>
            </w:r>
          </w:p>
        </w:tc>
        <w:tc>
          <w:tcPr>
            <w:tcW w:w="2410" w:type="dxa"/>
          </w:tcPr>
          <w:p w14:paraId="544C8D2C" w14:textId="110E42E7" w:rsidR="00766FC6" w:rsidRPr="002A30D8" w:rsidRDefault="00766FC6" w:rsidP="007147FD">
            <w:pPr>
              <w:pStyle w:val="ListParagraph"/>
              <w:ind w:left="0" w:firstLine="0"/>
              <w:rPr>
                <w:sz w:val="22"/>
                <w:szCs w:val="22"/>
              </w:rPr>
            </w:pPr>
            <w:r w:rsidRPr="002A30D8">
              <w:rPr>
                <w:sz w:val="22"/>
                <w:szCs w:val="22"/>
              </w:rPr>
              <w:t>9</w:t>
            </w:r>
            <w:r w:rsidR="00592560" w:rsidRPr="002A30D8">
              <w:rPr>
                <w:sz w:val="22"/>
                <w:szCs w:val="22"/>
              </w:rPr>
              <w:t xml:space="preserve"> (5,620)</w:t>
            </w:r>
          </w:p>
        </w:tc>
        <w:tc>
          <w:tcPr>
            <w:tcW w:w="2130" w:type="dxa"/>
          </w:tcPr>
          <w:p w14:paraId="17D0AA14" w14:textId="0C38D258" w:rsidR="00766FC6" w:rsidRPr="002A30D8" w:rsidRDefault="004759B0" w:rsidP="007147FD">
            <w:pPr>
              <w:pStyle w:val="ListParagraph"/>
              <w:ind w:left="0" w:firstLine="0"/>
              <w:rPr>
                <w:sz w:val="22"/>
                <w:szCs w:val="22"/>
              </w:rPr>
            </w:pPr>
            <w:r w:rsidRPr="002A30D8">
              <w:rPr>
                <w:sz w:val="22"/>
                <w:szCs w:val="22"/>
              </w:rPr>
              <w:t xml:space="preserve">10 </w:t>
            </w:r>
            <w:r w:rsidR="00593693" w:rsidRPr="002A30D8">
              <w:rPr>
                <w:sz w:val="22"/>
                <w:szCs w:val="22"/>
              </w:rPr>
              <w:t>(8,570)</w:t>
            </w:r>
          </w:p>
        </w:tc>
        <w:tc>
          <w:tcPr>
            <w:tcW w:w="2259" w:type="dxa"/>
          </w:tcPr>
          <w:p w14:paraId="3B19739E" w14:textId="70957412" w:rsidR="00766FC6" w:rsidRPr="002A30D8" w:rsidRDefault="00592560" w:rsidP="007147FD">
            <w:pPr>
              <w:pStyle w:val="ListParagraph"/>
              <w:ind w:left="0" w:firstLine="0"/>
              <w:rPr>
                <w:b/>
                <w:bCs/>
                <w:sz w:val="22"/>
                <w:szCs w:val="22"/>
              </w:rPr>
            </w:pPr>
            <w:r w:rsidRPr="002A30D8">
              <w:rPr>
                <w:rFonts w:cs="Arial"/>
                <w:b/>
                <w:bCs/>
                <w:sz w:val="22"/>
                <w:szCs w:val="22"/>
              </w:rPr>
              <w:t>↑</w:t>
            </w:r>
          </w:p>
        </w:tc>
      </w:tr>
      <w:tr w:rsidR="00766FC6" w:rsidRPr="002A30D8" w14:paraId="78A88C7B" w14:textId="77777777" w:rsidTr="000C58F5">
        <w:tc>
          <w:tcPr>
            <w:tcW w:w="2564" w:type="dxa"/>
            <w:shd w:val="clear" w:color="auto" w:fill="BFBFBF" w:themeFill="background1" w:themeFillShade="BF"/>
          </w:tcPr>
          <w:p w14:paraId="61A347B1" w14:textId="3E4220ED" w:rsidR="00766FC6" w:rsidRPr="002A30D8" w:rsidRDefault="00766FC6" w:rsidP="007147FD">
            <w:pPr>
              <w:pStyle w:val="ListParagraph"/>
              <w:ind w:left="0" w:firstLine="0"/>
              <w:rPr>
                <w:sz w:val="22"/>
                <w:szCs w:val="22"/>
              </w:rPr>
            </w:pPr>
            <w:r w:rsidRPr="002A30D8">
              <w:rPr>
                <w:sz w:val="22"/>
                <w:szCs w:val="22"/>
              </w:rPr>
              <w:t>Asian or Asian British</w:t>
            </w:r>
          </w:p>
        </w:tc>
        <w:tc>
          <w:tcPr>
            <w:tcW w:w="2410" w:type="dxa"/>
          </w:tcPr>
          <w:p w14:paraId="50024045" w14:textId="32C6F9FC" w:rsidR="00766FC6" w:rsidRPr="002A30D8" w:rsidRDefault="00766FC6" w:rsidP="007147FD">
            <w:pPr>
              <w:pStyle w:val="ListParagraph"/>
              <w:ind w:left="0" w:firstLine="0"/>
              <w:rPr>
                <w:sz w:val="22"/>
                <w:szCs w:val="22"/>
              </w:rPr>
            </w:pPr>
            <w:r w:rsidRPr="002A30D8">
              <w:rPr>
                <w:sz w:val="22"/>
                <w:szCs w:val="22"/>
              </w:rPr>
              <w:t>5</w:t>
            </w:r>
            <w:r w:rsidR="00592560" w:rsidRPr="002A30D8">
              <w:rPr>
                <w:sz w:val="22"/>
                <w:szCs w:val="22"/>
              </w:rPr>
              <w:t xml:space="preserve"> (3,090)</w:t>
            </w:r>
          </w:p>
        </w:tc>
        <w:tc>
          <w:tcPr>
            <w:tcW w:w="2130" w:type="dxa"/>
          </w:tcPr>
          <w:p w14:paraId="01687149" w14:textId="04FDDEAB" w:rsidR="00766FC6" w:rsidRPr="002A30D8" w:rsidRDefault="004759B0" w:rsidP="007147FD">
            <w:pPr>
              <w:pStyle w:val="ListParagraph"/>
              <w:ind w:left="0" w:firstLine="0"/>
              <w:rPr>
                <w:sz w:val="22"/>
                <w:szCs w:val="22"/>
              </w:rPr>
            </w:pPr>
            <w:r w:rsidRPr="002A30D8">
              <w:rPr>
                <w:sz w:val="22"/>
                <w:szCs w:val="22"/>
              </w:rPr>
              <w:t xml:space="preserve">5 </w:t>
            </w:r>
            <w:r w:rsidR="00593693" w:rsidRPr="002A30D8">
              <w:rPr>
                <w:sz w:val="22"/>
                <w:szCs w:val="22"/>
              </w:rPr>
              <w:t>(3,920)</w:t>
            </w:r>
          </w:p>
        </w:tc>
        <w:tc>
          <w:tcPr>
            <w:tcW w:w="2259" w:type="dxa"/>
          </w:tcPr>
          <w:p w14:paraId="1ECEA54F" w14:textId="0CCCFAA8" w:rsidR="00766FC6" w:rsidRPr="002A30D8" w:rsidRDefault="00B123EE" w:rsidP="007147FD">
            <w:pPr>
              <w:pStyle w:val="ListParagraph"/>
              <w:ind w:left="0" w:firstLine="0"/>
              <w:rPr>
                <w:b/>
                <w:bCs/>
                <w:sz w:val="22"/>
                <w:szCs w:val="22"/>
              </w:rPr>
            </w:pPr>
            <w:r w:rsidRPr="002A30D8">
              <w:rPr>
                <w:rFonts w:cs="Arial"/>
                <w:b/>
                <w:bCs/>
                <w:sz w:val="22"/>
                <w:szCs w:val="22"/>
              </w:rPr>
              <w:t>↔</w:t>
            </w:r>
          </w:p>
        </w:tc>
      </w:tr>
      <w:tr w:rsidR="00766FC6" w:rsidRPr="002A30D8" w14:paraId="72516E63" w14:textId="77777777" w:rsidTr="000C58F5">
        <w:tc>
          <w:tcPr>
            <w:tcW w:w="2564" w:type="dxa"/>
            <w:shd w:val="clear" w:color="auto" w:fill="BFBFBF" w:themeFill="background1" w:themeFillShade="BF"/>
          </w:tcPr>
          <w:p w14:paraId="75224CA5" w14:textId="20DFB063" w:rsidR="00766FC6" w:rsidRPr="002A30D8" w:rsidRDefault="00766FC6" w:rsidP="007147FD">
            <w:pPr>
              <w:pStyle w:val="ListParagraph"/>
              <w:ind w:left="0" w:firstLine="0"/>
              <w:rPr>
                <w:sz w:val="22"/>
                <w:szCs w:val="22"/>
              </w:rPr>
            </w:pPr>
            <w:r w:rsidRPr="002A30D8">
              <w:rPr>
                <w:sz w:val="22"/>
                <w:szCs w:val="22"/>
              </w:rPr>
              <w:t>Black or Black British</w:t>
            </w:r>
          </w:p>
        </w:tc>
        <w:tc>
          <w:tcPr>
            <w:tcW w:w="2410" w:type="dxa"/>
          </w:tcPr>
          <w:p w14:paraId="3FE34536" w14:textId="0A74F043" w:rsidR="00766FC6" w:rsidRPr="002A30D8" w:rsidRDefault="00766FC6" w:rsidP="007147FD">
            <w:pPr>
              <w:pStyle w:val="ListParagraph"/>
              <w:ind w:left="0" w:firstLine="0"/>
              <w:rPr>
                <w:sz w:val="22"/>
                <w:szCs w:val="22"/>
              </w:rPr>
            </w:pPr>
            <w:r w:rsidRPr="002A30D8">
              <w:rPr>
                <w:sz w:val="22"/>
                <w:szCs w:val="22"/>
              </w:rPr>
              <w:t>7</w:t>
            </w:r>
            <w:r w:rsidR="00592560" w:rsidRPr="002A30D8">
              <w:rPr>
                <w:sz w:val="22"/>
                <w:szCs w:val="22"/>
              </w:rPr>
              <w:t xml:space="preserve"> (4,520)</w:t>
            </w:r>
          </w:p>
        </w:tc>
        <w:tc>
          <w:tcPr>
            <w:tcW w:w="2130" w:type="dxa"/>
          </w:tcPr>
          <w:p w14:paraId="0CE2F86B" w14:textId="218180EE" w:rsidR="00766FC6" w:rsidRPr="002A30D8" w:rsidRDefault="004759B0" w:rsidP="007147FD">
            <w:pPr>
              <w:pStyle w:val="ListParagraph"/>
              <w:ind w:left="0" w:firstLine="0"/>
              <w:rPr>
                <w:sz w:val="22"/>
                <w:szCs w:val="22"/>
              </w:rPr>
            </w:pPr>
            <w:r w:rsidRPr="002A30D8">
              <w:rPr>
                <w:sz w:val="22"/>
                <w:szCs w:val="22"/>
              </w:rPr>
              <w:t xml:space="preserve">7 </w:t>
            </w:r>
            <w:r w:rsidR="00593693" w:rsidRPr="002A30D8">
              <w:rPr>
                <w:sz w:val="22"/>
                <w:szCs w:val="22"/>
              </w:rPr>
              <w:t>(5,660)</w:t>
            </w:r>
          </w:p>
        </w:tc>
        <w:tc>
          <w:tcPr>
            <w:tcW w:w="2259" w:type="dxa"/>
          </w:tcPr>
          <w:p w14:paraId="7A60E581" w14:textId="46702887" w:rsidR="00766FC6" w:rsidRPr="002A30D8" w:rsidRDefault="00B123EE" w:rsidP="007147FD">
            <w:pPr>
              <w:pStyle w:val="ListParagraph"/>
              <w:ind w:left="0" w:firstLine="0"/>
              <w:rPr>
                <w:b/>
                <w:bCs/>
                <w:sz w:val="22"/>
                <w:szCs w:val="22"/>
              </w:rPr>
            </w:pPr>
            <w:r w:rsidRPr="002A30D8">
              <w:rPr>
                <w:rFonts w:cs="Arial"/>
                <w:b/>
                <w:bCs/>
                <w:sz w:val="22"/>
                <w:szCs w:val="22"/>
              </w:rPr>
              <w:t>↔</w:t>
            </w:r>
          </w:p>
        </w:tc>
      </w:tr>
      <w:tr w:rsidR="00766FC6" w:rsidRPr="002A30D8" w14:paraId="2D8A1FE1" w14:textId="77777777" w:rsidTr="000C58F5">
        <w:tc>
          <w:tcPr>
            <w:tcW w:w="2564" w:type="dxa"/>
            <w:shd w:val="clear" w:color="auto" w:fill="BFBFBF" w:themeFill="background1" w:themeFillShade="BF"/>
          </w:tcPr>
          <w:p w14:paraId="3904B4CA" w14:textId="5F9AFFEC" w:rsidR="00766FC6" w:rsidRPr="002A30D8" w:rsidRDefault="00766FC6" w:rsidP="007147FD">
            <w:pPr>
              <w:pStyle w:val="ListParagraph"/>
              <w:ind w:left="0" w:firstLine="0"/>
              <w:rPr>
                <w:sz w:val="22"/>
                <w:szCs w:val="22"/>
              </w:rPr>
            </w:pPr>
            <w:r w:rsidRPr="002A30D8">
              <w:rPr>
                <w:sz w:val="22"/>
                <w:szCs w:val="22"/>
              </w:rPr>
              <w:t>Other ethnic groups</w:t>
            </w:r>
          </w:p>
        </w:tc>
        <w:tc>
          <w:tcPr>
            <w:tcW w:w="2410" w:type="dxa"/>
          </w:tcPr>
          <w:p w14:paraId="049887B9" w14:textId="4986A05D" w:rsidR="00766FC6" w:rsidRPr="002A30D8" w:rsidRDefault="00592560" w:rsidP="007147FD">
            <w:pPr>
              <w:pStyle w:val="ListParagraph"/>
              <w:ind w:left="0" w:firstLine="0"/>
              <w:rPr>
                <w:sz w:val="22"/>
                <w:szCs w:val="22"/>
              </w:rPr>
            </w:pPr>
            <w:r w:rsidRPr="002A30D8">
              <w:rPr>
                <w:sz w:val="22"/>
                <w:szCs w:val="22"/>
              </w:rPr>
              <w:t>2 (1,530)</w:t>
            </w:r>
          </w:p>
        </w:tc>
        <w:tc>
          <w:tcPr>
            <w:tcW w:w="2130" w:type="dxa"/>
          </w:tcPr>
          <w:p w14:paraId="6A9B6B9E" w14:textId="76E2B617" w:rsidR="00766FC6" w:rsidRPr="002A30D8" w:rsidRDefault="00B123EE" w:rsidP="007147FD">
            <w:pPr>
              <w:pStyle w:val="ListParagraph"/>
              <w:ind w:left="0" w:firstLine="0"/>
              <w:rPr>
                <w:sz w:val="22"/>
                <w:szCs w:val="22"/>
              </w:rPr>
            </w:pPr>
            <w:r w:rsidRPr="002A30D8">
              <w:rPr>
                <w:sz w:val="22"/>
                <w:szCs w:val="22"/>
              </w:rPr>
              <w:t xml:space="preserve">4 </w:t>
            </w:r>
            <w:r w:rsidR="00593693" w:rsidRPr="002A30D8">
              <w:rPr>
                <w:sz w:val="22"/>
                <w:szCs w:val="22"/>
              </w:rPr>
              <w:t>(3,</w:t>
            </w:r>
            <w:r w:rsidR="004759B0" w:rsidRPr="002A30D8">
              <w:rPr>
                <w:sz w:val="22"/>
                <w:szCs w:val="22"/>
              </w:rPr>
              <w:t>540)</w:t>
            </w:r>
          </w:p>
        </w:tc>
        <w:tc>
          <w:tcPr>
            <w:tcW w:w="2259" w:type="dxa"/>
          </w:tcPr>
          <w:p w14:paraId="677C7B11" w14:textId="77777777" w:rsidR="00766FC6" w:rsidRPr="002A30D8" w:rsidRDefault="00766FC6" w:rsidP="007147FD">
            <w:pPr>
              <w:pStyle w:val="ListParagraph"/>
              <w:ind w:left="0" w:firstLine="0"/>
              <w:rPr>
                <w:b/>
                <w:bCs/>
                <w:sz w:val="22"/>
                <w:szCs w:val="22"/>
              </w:rPr>
            </w:pPr>
            <w:r w:rsidRPr="002A30D8">
              <w:rPr>
                <w:rFonts w:cs="Arial"/>
                <w:b/>
                <w:bCs/>
                <w:sz w:val="22"/>
                <w:szCs w:val="22"/>
              </w:rPr>
              <w:t>↑</w:t>
            </w:r>
          </w:p>
        </w:tc>
      </w:tr>
      <w:tr w:rsidR="00592560" w:rsidRPr="002A30D8" w14:paraId="601CC7AF" w14:textId="77777777" w:rsidTr="000C58F5">
        <w:tc>
          <w:tcPr>
            <w:tcW w:w="2564" w:type="dxa"/>
            <w:shd w:val="clear" w:color="auto" w:fill="BFBFBF" w:themeFill="background1" w:themeFillShade="BF"/>
          </w:tcPr>
          <w:p w14:paraId="1D7FD1EA" w14:textId="5BF97C7B" w:rsidR="00592560" w:rsidRPr="002A30D8" w:rsidRDefault="00592560" w:rsidP="007147FD">
            <w:pPr>
              <w:pStyle w:val="ListParagraph"/>
              <w:ind w:left="0" w:firstLine="0"/>
              <w:rPr>
                <w:sz w:val="22"/>
                <w:szCs w:val="22"/>
              </w:rPr>
            </w:pPr>
            <w:r w:rsidRPr="002A30D8">
              <w:rPr>
                <w:sz w:val="22"/>
                <w:szCs w:val="22"/>
              </w:rPr>
              <w:t>Other (information refused or not obtained)</w:t>
            </w:r>
          </w:p>
        </w:tc>
        <w:tc>
          <w:tcPr>
            <w:tcW w:w="2410" w:type="dxa"/>
          </w:tcPr>
          <w:p w14:paraId="4BA4B335" w14:textId="6D82104D" w:rsidR="00592560" w:rsidRPr="002A30D8" w:rsidRDefault="00592560" w:rsidP="007147FD">
            <w:pPr>
              <w:pStyle w:val="ListParagraph"/>
              <w:ind w:left="0" w:firstLine="0"/>
              <w:rPr>
                <w:sz w:val="22"/>
                <w:szCs w:val="22"/>
              </w:rPr>
            </w:pPr>
            <w:r w:rsidRPr="002A30D8">
              <w:rPr>
                <w:sz w:val="22"/>
                <w:szCs w:val="22"/>
              </w:rPr>
              <w:t>1 (410)</w:t>
            </w:r>
          </w:p>
        </w:tc>
        <w:tc>
          <w:tcPr>
            <w:tcW w:w="2130" w:type="dxa"/>
          </w:tcPr>
          <w:p w14:paraId="087BD0BF" w14:textId="63EDA9B1" w:rsidR="00592560" w:rsidRPr="002A30D8" w:rsidRDefault="00B123EE" w:rsidP="007147FD">
            <w:pPr>
              <w:pStyle w:val="ListParagraph"/>
              <w:ind w:left="0" w:firstLine="0"/>
              <w:rPr>
                <w:sz w:val="22"/>
                <w:szCs w:val="22"/>
              </w:rPr>
            </w:pPr>
            <w:r w:rsidRPr="002A30D8">
              <w:rPr>
                <w:sz w:val="22"/>
                <w:szCs w:val="22"/>
              </w:rPr>
              <w:t xml:space="preserve">1 </w:t>
            </w:r>
            <w:r w:rsidR="004759B0" w:rsidRPr="002A30D8">
              <w:rPr>
                <w:sz w:val="22"/>
                <w:szCs w:val="22"/>
              </w:rPr>
              <w:t>(620)</w:t>
            </w:r>
          </w:p>
        </w:tc>
        <w:tc>
          <w:tcPr>
            <w:tcW w:w="2259" w:type="dxa"/>
          </w:tcPr>
          <w:p w14:paraId="1103F6B9" w14:textId="30C23D32" w:rsidR="00592560" w:rsidRPr="002A30D8" w:rsidRDefault="00B123EE" w:rsidP="007147FD">
            <w:pPr>
              <w:pStyle w:val="ListParagraph"/>
              <w:ind w:left="0" w:firstLine="0"/>
              <w:rPr>
                <w:rFonts w:cs="Arial"/>
                <w:b/>
                <w:bCs/>
                <w:sz w:val="22"/>
                <w:szCs w:val="22"/>
              </w:rPr>
            </w:pPr>
            <w:r w:rsidRPr="002A30D8">
              <w:rPr>
                <w:rFonts w:cs="Arial"/>
                <w:b/>
                <w:bCs/>
                <w:sz w:val="22"/>
                <w:szCs w:val="22"/>
              </w:rPr>
              <w:t>↔</w:t>
            </w:r>
          </w:p>
        </w:tc>
      </w:tr>
    </w:tbl>
    <w:p w14:paraId="0C811D85" w14:textId="77777777" w:rsidR="0058391B" w:rsidRPr="002A30D8" w:rsidRDefault="0058391B" w:rsidP="0058391B">
      <w:pPr>
        <w:pStyle w:val="ListParagraph"/>
        <w:rPr>
          <w:sz w:val="22"/>
          <w:szCs w:val="22"/>
        </w:rPr>
      </w:pPr>
    </w:p>
    <w:p w14:paraId="43881304" w14:textId="505D80C2" w:rsidR="0058391B" w:rsidRPr="002A30D8" w:rsidRDefault="005C3F0D" w:rsidP="0058391B">
      <w:pPr>
        <w:pStyle w:val="ListParagraph"/>
        <w:numPr>
          <w:ilvl w:val="0"/>
          <w:numId w:val="20"/>
        </w:numPr>
        <w:rPr>
          <w:sz w:val="22"/>
          <w:szCs w:val="22"/>
        </w:rPr>
      </w:pPr>
      <w:r w:rsidRPr="002A30D8">
        <w:rPr>
          <w:sz w:val="22"/>
          <w:szCs w:val="22"/>
        </w:rPr>
        <w:t>Category of need:</w:t>
      </w:r>
    </w:p>
    <w:tbl>
      <w:tblPr>
        <w:tblStyle w:val="TableGrid"/>
        <w:tblW w:w="0" w:type="auto"/>
        <w:tblInd w:w="266" w:type="dxa"/>
        <w:tblLook w:val="04A0" w:firstRow="1" w:lastRow="0" w:firstColumn="1" w:lastColumn="0" w:noHBand="0" w:noVBand="1"/>
      </w:tblPr>
      <w:tblGrid>
        <w:gridCol w:w="2564"/>
        <w:gridCol w:w="2268"/>
        <w:gridCol w:w="2276"/>
        <w:gridCol w:w="2255"/>
      </w:tblGrid>
      <w:tr w:rsidR="005C3F0D" w:rsidRPr="002A30D8" w14:paraId="56641C3D" w14:textId="77777777" w:rsidTr="000C58F5">
        <w:tc>
          <w:tcPr>
            <w:tcW w:w="2564" w:type="dxa"/>
            <w:shd w:val="clear" w:color="auto" w:fill="BFBFBF" w:themeFill="background1" w:themeFillShade="BF"/>
          </w:tcPr>
          <w:p w14:paraId="4C2EAA02" w14:textId="082058E3" w:rsidR="005C3F0D" w:rsidRPr="002A30D8" w:rsidRDefault="005C3F0D" w:rsidP="007147FD">
            <w:pPr>
              <w:pStyle w:val="ListParagraph"/>
              <w:ind w:left="0" w:firstLine="0"/>
              <w:rPr>
                <w:sz w:val="22"/>
                <w:szCs w:val="22"/>
              </w:rPr>
            </w:pPr>
            <w:r w:rsidRPr="002A30D8">
              <w:rPr>
                <w:sz w:val="22"/>
                <w:szCs w:val="22"/>
              </w:rPr>
              <w:t>Category of need</w:t>
            </w:r>
          </w:p>
        </w:tc>
        <w:tc>
          <w:tcPr>
            <w:tcW w:w="2268" w:type="dxa"/>
            <w:shd w:val="clear" w:color="auto" w:fill="D9D9D9" w:themeFill="background1" w:themeFillShade="D9"/>
          </w:tcPr>
          <w:p w14:paraId="353CF395" w14:textId="77777777" w:rsidR="005C3F0D" w:rsidRPr="002A30D8" w:rsidRDefault="005C3F0D" w:rsidP="007147FD">
            <w:pPr>
              <w:pStyle w:val="ListParagraph"/>
              <w:ind w:left="0" w:firstLine="0"/>
              <w:rPr>
                <w:sz w:val="22"/>
                <w:szCs w:val="22"/>
              </w:rPr>
            </w:pPr>
            <w:r w:rsidRPr="002A30D8">
              <w:rPr>
                <w:sz w:val="22"/>
                <w:szCs w:val="22"/>
              </w:rPr>
              <w:t xml:space="preserve">Percentage of children in care – </w:t>
            </w:r>
            <w:hyperlink r:id="rId16" w:history="1">
              <w:r w:rsidRPr="002A30D8">
                <w:rPr>
                  <w:rStyle w:val="Hyperlink"/>
                  <w:sz w:val="22"/>
                  <w:szCs w:val="22"/>
                </w:rPr>
                <w:t>2011</w:t>
              </w:r>
            </w:hyperlink>
            <w:r w:rsidRPr="002A30D8">
              <w:rPr>
                <w:sz w:val="22"/>
                <w:szCs w:val="22"/>
              </w:rPr>
              <w:t xml:space="preserve"> (number)</w:t>
            </w:r>
          </w:p>
        </w:tc>
        <w:tc>
          <w:tcPr>
            <w:tcW w:w="2276" w:type="dxa"/>
            <w:shd w:val="clear" w:color="auto" w:fill="D9D9D9" w:themeFill="background1" w:themeFillShade="D9"/>
          </w:tcPr>
          <w:p w14:paraId="7E596155" w14:textId="61154FCC" w:rsidR="005C3F0D" w:rsidRPr="002A30D8" w:rsidRDefault="005C3F0D" w:rsidP="007147FD">
            <w:pPr>
              <w:pStyle w:val="ListParagraph"/>
              <w:ind w:left="0" w:firstLine="0"/>
              <w:rPr>
                <w:sz w:val="22"/>
                <w:szCs w:val="22"/>
              </w:rPr>
            </w:pPr>
            <w:r w:rsidRPr="002A30D8">
              <w:rPr>
                <w:sz w:val="22"/>
                <w:szCs w:val="22"/>
              </w:rPr>
              <w:t xml:space="preserve">Percentage of children in care – </w:t>
            </w:r>
            <w:hyperlink r:id="rId17" w:history="1">
              <w:r w:rsidRPr="002A30D8">
                <w:rPr>
                  <w:rStyle w:val="Hyperlink"/>
                  <w:sz w:val="22"/>
                  <w:szCs w:val="22"/>
                </w:rPr>
                <w:t>202</w:t>
              </w:r>
              <w:r w:rsidR="00EF4A33" w:rsidRPr="002A30D8">
                <w:rPr>
                  <w:rStyle w:val="Hyperlink"/>
                  <w:sz w:val="22"/>
                  <w:szCs w:val="22"/>
                </w:rPr>
                <w:t>2</w:t>
              </w:r>
            </w:hyperlink>
            <w:r w:rsidRPr="002A30D8">
              <w:rPr>
                <w:sz w:val="22"/>
                <w:szCs w:val="22"/>
              </w:rPr>
              <w:t xml:space="preserve"> (number)</w:t>
            </w:r>
          </w:p>
        </w:tc>
        <w:tc>
          <w:tcPr>
            <w:tcW w:w="2255" w:type="dxa"/>
            <w:shd w:val="clear" w:color="auto" w:fill="D9D9D9" w:themeFill="background1" w:themeFillShade="D9"/>
          </w:tcPr>
          <w:p w14:paraId="45F801A6" w14:textId="77777777" w:rsidR="005C3F0D" w:rsidRPr="002A30D8" w:rsidRDefault="005C3F0D" w:rsidP="007147FD">
            <w:pPr>
              <w:pStyle w:val="ListParagraph"/>
              <w:ind w:left="0" w:firstLine="0"/>
              <w:rPr>
                <w:sz w:val="22"/>
                <w:szCs w:val="22"/>
              </w:rPr>
            </w:pPr>
            <w:r w:rsidRPr="002A30D8">
              <w:rPr>
                <w:sz w:val="22"/>
                <w:szCs w:val="22"/>
              </w:rPr>
              <w:t>Increase/decrease in percentage</w:t>
            </w:r>
          </w:p>
        </w:tc>
      </w:tr>
      <w:tr w:rsidR="005C3F0D" w:rsidRPr="002A30D8" w14:paraId="345453E6" w14:textId="77777777" w:rsidTr="000C58F5">
        <w:tc>
          <w:tcPr>
            <w:tcW w:w="2564" w:type="dxa"/>
            <w:shd w:val="clear" w:color="auto" w:fill="BFBFBF" w:themeFill="background1" w:themeFillShade="BF"/>
          </w:tcPr>
          <w:p w14:paraId="599C2F51" w14:textId="2CCB8DB9" w:rsidR="005C3F0D" w:rsidRPr="002A30D8" w:rsidRDefault="005C3F0D" w:rsidP="007147FD">
            <w:pPr>
              <w:pStyle w:val="ListParagraph"/>
              <w:ind w:left="0" w:firstLine="0"/>
              <w:rPr>
                <w:sz w:val="22"/>
                <w:szCs w:val="22"/>
              </w:rPr>
            </w:pPr>
            <w:r w:rsidRPr="002A30D8">
              <w:rPr>
                <w:sz w:val="22"/>
                <w:szCs w:val="22"/>
              </w:rPr>
              <w:t>Abuse or neglect</w:t>
            </w:r>
          </w:p>
        </w:tc>
        <w:tc>
          <w:tcPr>
            <w:tcW w:w="2268" w:type="dxa"/>
          </w:tcPr>
          <w:p w14:paraId="57D02A7D" w14:textId="729AC5F4" w:rsidR="005C3F0D" w:rsidRPr="002A30D8" w:rsidRDefault="005C3F0D" w:rsidP="007147FD">
            <w:pPr>
              <w:pStyle w:val="ListParagraph"/>
              <w:ind w:left="0" w:firstLine="0"/>
              <w:rPr>
                <w:sz w:val="22"/>
                <w:szCs w:val="22"/>
              </w:rPr>
            </w:pPr>
            <w:r w:rsidRPr="002A30D8">
              <w:rPr>
                <w:sz w:val="22"/>
                <w:szCs w:val="22"/>
              </w:rPr>
              <w:t>62 (40,410)</w:t>
            </w:r>
          </w:p>
        </w:tc>
        <w:tc>
          <w:tcPr>
            <w:tcW w:w="2276" w:type="dxa"/>
          </w:tcPr>
          <w:p w14:paraId="67FAE51C" w14:textId="04B5AACD" w:rsidR="005C3F0D" w:rsidRPr="002A30D8" w:rsidRDefault="0071726F" w:rsidP="007147FD">
            <w:pPr>
              <w:pStyle w:val="ListParagraph"/>
              <w:ind w:left="0" w:firstLine="0"/>
              <w:rPr>
                <w:sz w:val="22"/>
                <w:szCs w:val="22"/>
              </w:rPr>
            </w:pPr>
            <w:r w:rsidRPr="002A30D8">
              <w:rPr>
                <w:sz w:val="22"/>
                <w:szCs w:val="22"/>
              </w:rPr>
              <w:t xml:space="preserve">66 </w:t>
            </w:r>
            <w:r w:rsidR="00EF4A33" w:rsidRPr="002A30D8">
              <w:rPr>
                <w:sz w:val="22"/>
                <w:szCs w:val="22"/>
              </w:rPr>
              <w:t xml:space="preserve">(54,270) </w:t>
            </w:r>
          </w:p>
        </w:tc>
        <w:tc>
          <w:tcPr>
            <w:tcW w:w="2255" w:type="dxa"/>
          </w:tcPr>
          <w:p w14:paraId="1F344C00" w14:textId="6FEA8911" w:rsidR="005C3F0D" w:rsidRPr="002A30D8" w:rsidRDefault="005C3F0D" w:rsidP="007147FD">
            <w:pPr>
              <w:pStyle w:val="ListParagraph"/>
              <w:ind w:left="0" w:firstLine="0"/>
              <w:rPr>
                <w:b/>
                <w:bCs/>
                <w:sz w:val="22"/>
                <w:szCs w:val="22"/>
              </w:rPr>
            </w:pPr>
            <w:r w:rsidRPr="002A30D8">
              <w:rPr>
                <w:rFonts w:cs="Arial"/>
                <w:b/>
                <w:bCs/>
                <w:sz w:val="22"/>
                <w:szCs w:val="22"/>
              </w:rPr>
              <w:t>↑</w:t>
            </w:r>
          </w:p>
        </w:tc>
      </w:tr>
      <w:tr w:rsidR="005C3F0D" w:rsidRPr="002A30D8" w14:paraId="68448C6E" w14:textId="77777777" w:rsidTr="000C58F5">
        <w:tc>
          <w:tcPr>
            <w:tcW w:w="2564" w:type="dxa"/>
            <w:shd w:val="clear" w:color="auto" w:fill="BFBFBF" w:themeFill="background1" w:themeFillShade="BF"/>
          </w:tcPr>
          <w:p w14:paraId="2223655D" w14:textId="0EA927BF" w:rsidR="005C3F0D" w:rsidRPr="002A30D8" w:rsidRDefault="005C3F0D" w:rsidP="007147FD">
            <w:pPr>
              <w:pStyle w:val="ListParagraph"/>
              <w:ind w:left="0" w:firstLine="0"/>
              <w:rPr>
                <w:sz w:val="22"/>
                <w:szCs w:val="22"/>
              </w:rPr>
            </w:pPr>
            <w:r w:rsidRPr="002A30D8">
              <w:rPr>
                <w:sz w:val="22"/>
                <w:szCs w:val="22"/>
              </w:rPr>
              <w:t>Child’s disability</w:t>
            </w:r>
          </w:p>
        </w:tc>
        <w:tc>
          <w:tcPr>
            <w:tcW w:w="2268" w:type="dxa"/>
          </w:tcPr>
          <w:p w14:paraId="42F46D36" w14:textId="3514D504" w:rsidR="005C3F0D" w:rsidRPr="002A30D8" w:rsidRDefault="005C3F0D" w:rsidP="007147FD">
            <w:pPr>
              <w:pStyle w:val="ListParagraph"/>
              <w:ind w:left="0" w:firstLine="0"/>
              <w:rPr>
                <w:sz w:val="22"/>
                <w:szCs w:val="22"/>
              </w:rPr>
            </w:pPr>
            <w:r w:rsidRPr="002A30D8">
              <w:rPr>
                <w:sz w:val="22"/>
                <w:szCs w:val="22"/>
              </w:rPr>
              <w:t>3 (2,150)</w:t>
            </w:r>
          </w:p>
        </w:tc>
        <w:tc>
          <w:tcPr>
            <w:tcW w:w="2276" w:type="dxa"/>
          </w:tcPr>
          <w:p w14:paraId="360E94F2" w14:textId="29428C54" w:rsidR="005C3F0D" w:rsidRPr="002A30D8" w:rsidRDefault="0071726F" w:rsidP="007147FD">
            <w:pPr>
              <w:pStyle w:val="ListParagraph"/>
              <w:ind w:left="0" w:firstLine="0"/>
              <w:rPr>
                <w:sz w:val="22"/>
                <w:szCs w:val="22"/>
              </w:rPr>
            </w:pPr>
            <w:r w:rsidRPr="002A30D8">
              <w:rPr>
                <w:sz w:val="22"/>
                <w:szCs w:val="22"/>
              </w:rPr>
              <w:t>2 (2,000)</w:t>
            </w:r>
          </w:p>
        </w:tc>
        <w:tc>
          <w:tcPr>
            <w:tcW w:w="2255" w:type="dxa"/>
          </w:tcPr>
          <w:p w14:paraId="6874EA11" w14:textId="3D6F84F8" w:rsidR="005C3F0D" w:rsidRPr="002A30D8" w:rsidRDefault="00BB2723" w:rsidP="007147FD">
            <w:pPr>
              <w:pStyle w:val="ListParagraph"/>
              <w:ind w:left="0" w:firstLine="0"/>
              <w:rPr>
                <w:b/>
                <w:bCs/>
                <w:sz w:val="22"/>
                <w:szCs w:val="22"/>
              </w:rPr>
            </w:pPr>
            <w:r w:rsidRPr="002A30D8">
              <w:rPr>
                <w:rFonts w:cs="Arial"/>
                <w:b/>
                <w:bCs/>
                <w:sz w:val="22"/>
                <w:szCs w:val="22"/>
              </w:rPr>
              <w:t>↓</w:t>
            </w:r>
          </w:p>
        </w:tc>
      </w:tr>
      <w:tr w:rsidR="005C3F0D" w:rsidRPr="002A30D8" w14:paraId="49EE3550" w14:textId="77777777" w:rsidTr="000C58F5">
        <w:tc>
          <w:tcPr>
            <w:tcW w:w="2564" w:type="dxa"/>
            <w:shd w:val="clear" w:color="auto" w:fill="BFBFBF" w:themeFill="background1" w:themeFillShade="BF"/>
          </w:tcPr>
          <w:p w14:paraId="28CC3446" w14:textId="763494FC" w:rsidR="005C3F0D" w:rsidRPr="002A30D8" w:rsidRDefault="005C3F0D" w:rsidP="007147FD">
            <w:pPr>
              <w:pStyle w:val="ListParagraph"/>
              <w:ind w:left="0" w:firstLine="0"/>
              <w:rPr>
                <w:sz w:val="22"/>
                <w:szCs w:val="22"/>
              </w:rPr>
            </w:pPr>
            <w:r w:rsidRPr="002A30D8">
              <w:rPr>
                <w:sz w:val="22"/>
                <w:szCs w:val="22"/>
              </w:rPr>
              <w:t>Parents illness or disability</w:t>
            </w:r>
          </w:p>
        </w:tc>
        <w:tc>
          <w:tcPr>
            <w:tcW w:w="2268" w:type="dxa"/>
          </w:tcPr>
          <w:p w14:paraId="3CFE32E1" w14:textId="4FF8A63B" w:rsidR="005C3F0D" w:rsidRPr="002A30D8" w:rsidRDefault="005C3F0D" w:rsidP="007147FD">
            <w:pPr>
              <w:pStyle w:val="ListParagraph"/>
              <w:ind w:left="0" w:firstLine="0"/>
              <w:rPr>
                <w:sz w:val="22"/>
                <w:szCs w:val="22"/>
              </w:rPr>
            </w:pPr>
            <w:r w:rsidRPr="002A30D8">
              <w:rPr>
                <w:sz w:val="22"/>
                <w:szCs w:val="22"/>
              </w:rPr>
              <w:t>4 (2,720)</w:t>
            </w:r>
          </w:p>
        </w:tc>
        <w:tc>
          <w:tcPr>
            <w:tcW w:w="2276" w:type="dxa"/>
          </w:tcPr>
          <w:p w14:paraId="7EF2A638" w14:textId="656065C2" w:rsidR="005C3F0D" w:rsidRPr="002A30D8" w:rsidRDefault="0071726F" w:rsidP="007147FD">
            <w:pPr>
              <w:pStyle w:val="ListParagraph"/>
              <w:ind w:left="0" w:firstLine="0"/>
              <w:rPr>
                <w:sz w:val="22"/>
                <w:szCs w:val="22"/>
              </w:rPr>
            </w:pPr>
            <w:r w:rsidRPr="002A30D8">
              <w:rPr>
                <w:sz w:val="22"/>
                <w:szCs w:val="22"/>
              </w:rPr>
              <w:t>3 (2,210)</w:t>
            </w:r>
          </w:p>
        </w:tc>
        <w:tc>
          <w:tcPr>
            <w:tcW w:w="2255" w:type="dxa"/>
          </w:tcPr>
          <w:p w14:paraId="3DDFB34C" w14:textId="77777777" w:rsidR="005C3F0D" w:rsidRPr="002A30D8" w:rsidRDefault="005C3F0D" w:rsidP="007147FD">
            <w:pPr>
              <w:pStyle w:val="ListParagraph"/>
              <w:ind w:left="0" w:firstLine="0"/>
              <w:rPr>
                <w:b/>
                <w:bCs/>
                <w:sz w:val="22"/>
                <w:szCs w:val="22"/>
              </w:rPr>
            </w:pPr>
            <w:r w:rsidRPr="002A30D8">
              <w:rPr>
                <w:rFonts w:cs="Arial"/>
                <w:b/>
                <w:bCs/>
                <w:sz w:val="22"/>
                <w:szCs w:val="22"/>
              </w:rPr>
              <w:t>↓</w:t>
            </w:r>
          </w:p>
        </w:tc>
      </w:tr>
      <w:tr w:rsidR="005C3F0D" w:rsidRPr="002A30D8" w14:paraId="61AEFC5E" w14:textId="77777777" w:rsidTr="000C58F5">
        <w:tc>
          <w:tcPr>
            <w:tcW w:w="2564" w:type="dxa"/>
            <w:shd w:val="clear" w:color="auto" w:fill="BFBFBF" w:themeFill="background1" w:themeFillShade="BF"/>
          </w:tcPr>
          <w:p w14:paraId="52801B92" w14:textId="2B57D63D" w:rsidR="005C3F0D" w:rsidRPr="002A30D8" w:rsidRDefault="005C3F0D" w:rsidP="007147FD">
            <w:pPr>
              <w:pStyle w:val="ListParagraph"/>
              <w:ind w:left="0" w:firstLine="0"/>
              <w:rPr>
                <w:sz w:val="22"/>
                <w:szCs w:val="22"/>
              </w:rPr>
            </w:pPr>
            <w:r w:rsidRPr="002A30D8">
              <w:rPr>
                <w:sz w:val="22"/>
                <w:szCs w:val="22"/>
              </w:rPr>
              <w:t>Family in acute stress</w:t>
            </w:r>
          </w:p>
        </w:tc>
        <w:tc>
          <w:tcPr>
            <w:tcW w:w="2268" w:type="dxa"/>
          </w:tcPr>
          <w:p w14:paraId="17AEA441" w14:textId="1D795DEC" w:rsidR="005C3F0D" w:rsidRPr="002A30D8" w:rsidRDefault="005C3F0D" w:rsidP="007147FD">
            <w:pPr>
              <w:pStyle w:val="ListParagraph"/>
              <w:ind w:left="0" w:firstLine="0"/>
              <w:rPr>
                <w:sz w:val="22"/>
                <w:szCs w:val="22"/>
              </w:rPr>
            </w:pPr>
            <w:r w:rsidRPr="002A30D8">
              <w:rPr>
                <w:sz w:val="22"/>
                <w:szCs w:val="22"/>
              </w:rPr>
              <w:t>9 (5,880)</w:t>
            </w:r>
          </w:p>
        </w:tc>
        <w:tc>
          <w:tcPr>
            <w:tcW w:w="2276" w:type="dxa"/>
          </w:tcPr>
          <w:p w14:paraId="21E020E4" w14:textId="3410DAD2" w:rsidR="005C3F0D" w:rsidRPr="002A30D8" w:rsidRDefault="0071726F" w:rsidP="007147FD">
            <w:pPr>
              <w:pStyle w:val="ListParagraph"/>
              <w:ind w:left="0" w:firstLine="0"/>
              <w:rPr>
                <w:sz w:val="22"/>
                <w:szCs w:val="22"/>
              </w:rPr>
            </w:pPr>
            <w:r w:rsidRPr="002A30D8">
              <w:rPr>
                <w:sz w:val="22"/>
                <w:szCs w:val="22"/>
              </w:rPr>
              <w:t>7 (6,070)</w:t>
            </w:r>
          </w:p>
        </w:tc>
        <w:tc>
          <w:tcPr>
            <w:tcW w:w="2255" w:type="dxa"/>
          </w:tcPr>
          <w:p w14:paraId="2E5A850C" w14:textId="275B8629" w:rsidR="005C3F0D" w:rsidRPr="002A30D8" w:rsidRDefault="005C3F0D" w:rsidP="007147FD">
            <w:pPr>
              <w:pStyle w:val="ListParagraph"/>
              <w:ind w:left="0" w:firstLine="0"/>
              <w:rPr>
                <w:b/>
                <w:bCs/>
                <w:sz w:val="22"/>
                <w:szCs w:val="22"/>
              </w:rPr>
            </w:pPr>
            <w:r w:rsidRPr="002A30D8">
              <w:rPr>
                <w:rFonts w:cs="Arial"/>
                <w:b/>
                <w:bCs/>
                <w:sz w:val="22"/>
                <w:szCs w:val="22"/>
              </w:rPr>
              <w:t>↓</w:t>
            </w:r>
          </w:p>
        </w:tc>
      </w:tr>
      <w:tr w:rsidR="005C3F0D" w:rsidRPr="002A30D8" w14:paraId="451A4BC4" w14:textId="77777777" w:rsidTr="000C58F5">
        <w:tc>
          <w:tcPr>
            <w:tcW w:w="2564" w:type="dxa"/>
            <w:shd w:val="clear" w:color="auto" w:fill="BFBFBF" w:themeFill="background1" w:themeFillShade="BF"/>
          </w:tcPr>
          <w:p w14:paraId="11148847" w14:textId="44240A22" w:rsidR="005C3F0D" w:rsidRPr="002A30D8" w:rsidRDefault="005C3F0D" w:rsidP="007147FD">
            <w:pPr>
              <w:pStyle w:val="ListParagraph"/>
              <w:ind w:left="0" w:firstLine="0"/>
              <w:rPr>
                <w:sz w:val="22"/>
                <w:szCs w:val="22"/>
              </w:rPr>
            </w:pPr>
            <w:r w:rsidRPr="002A30D8">
              <w:rPr>
                <w:sz w:val="22"/>
                <w:szCs w:val="22"/>
              </w:rPr>
              <w:t>Family dysfunction</w:t>
            </w:r>
          </w:p>
        </w:tc>
        <w:tc>
          <w:tcPr>
            <w:tcW w:w="2268" w:type="dxa"/>
          </w:tcPr>
          <w:p w14:paraId="5BBCD55F" w14:textId="4C6FA987" w:rsidR="005C3F0D" w:rsidRPr="002A30D8" w:rsidRDefault="005C3F0D" w:rsidP="007147FD">
            <w:pPr>
              <w:pStyle w:val="ListParagraph"/>
              <w:ind w:left="0" w:firstLine="0"/>
              <w:rPr>
                <w:sz w:val="22"/>
                <w:szCs w:val="22"/>
              </w:rPr>
            </w:pPr>
            <w:r w:rsidRPr="002A30D8">
              <w:rPr>
                <w:sz w:val="22"/>
                <w:szCs w:val="22"/>
              </w:rPr>
              <w:t>14 (8,930)</w:t>
            </w:r>
          </w:p>
        </w:tc>
        <w:tc>
          <w:tcPr>
            <w:tcW w:w="2276" w:type="dxa"/>
          </w:tcPr>
          <w:p w14:paraId="76528596" w14:textId="7B4FFEE1" w:rsidR="005C3F0D" w:rsidRPr="002A30D8" w:rsidRDefault="0071726F" w:rsidP="007147FD">
            <w:pPr>
              <w:pStyle w:val="ListParagraph"/>
              <w:ind w:left="0" w:firstLine="0"/>
              <w:rPr>
                <w:sz w:val="22"/>
                <w:szCs w:val="22"/>
              </w:rPr>
            </w:pPr>
            <w:r w:rsidRPr="002A30D8">
              <w:rPr>
                <w:sz w:val="22"/>
                <w:szCs w:val="22"/>
              </w:rPr>
              <w:t>13 (10,820)</w:t>
            </w:r>
          </w:p>
        </w:tc>
        <w:tc>
          <w:tcPr>
            <w:tcW w:w="2255" w:type="dxa"/>
          </w:tcPr>
          <w:p w14:paraId="56DBB0CB" w14:textId="088831A0" w:rsidR="005C3F0D" w:rsidRPr="002A30D8" w:rsidRDefault="00BB2723" w:rsidP="007147FD">
            <w:pPr>
              <w:pStyle w:val="ListParagraph"/>
              <w:ind w:left="0" w:firstLine="0"/>
              <w:rPr>
                <w:b/>
                <w:bCs/>
                <w:sz w:val="22"/>
                <w:szCs w:val="22"/>
              </w:rPr>
            </w:pPr>
            <w:r w:rsidRPr="002A30D8">
              <w:rPr>
                <w:rFonts w:cs="Arial"/>
                <w:b/>
                <w:bCs/>
                <w:sz w:val="22"/>
                <w:szCs w:val="22"/>
              </w:rPr>
              <w:t>↓</w:t>
            </w:r>
          </w:p>
        </w:tc>
      </w:tr>
      <w:tr w:rsidR="005C3F0D" w:rsidRPr="002A30D8" w14:paraId="4E2B152E" w14:textId="77777777" w:rsidTr="000C58F5">
        <w:tc>
          <w:tcPr>
            <w:tcW w:w="2564" w:type="dxa"/>
            <w:shd w:val="clear" w:color="auto" w:fill="BFBFBF" w:themeFill="background1" w:themeFillShade="BF"/>
          </w:tcPr>
          <w:p w14:paraId="1CD966E3" w14:textId="22D0D593" w:rsidR="005C3F0D" w:rsidRPr="002A30D8" w:rsidRDefault="005C3F0D" w:rsidP="007147FD">
            <w:pPr>
              <w:pStyle w:val="ListParagraph"/>
              <w:ind w:left="0" w:firstLine="0"/>
              <w:rPr>
                <w:sz w:val="22"/>
                <w:szCs w:val="22"/>
              </w:rPr>
            </w:pPr>
            <w:r w:rsidRPr="002A30D8">
              <w:rPr>
                <w:sz w:val="22"/>
                <w:szCs w:val="22"/>
              </w:rPr>
              <w:t>Social unacceptable behaviour</w:t>
            </w:r>
          </w:p>
        </w:tc>
        <w:tc>
          <w:tcPr>
            <w:tcW w:w="2268" w:type="dxa"/>
          </w:tcPr>
          <w:p w14:paraId="5B4CCD48" w14:textId="6B990E29" w:rsidR="005C3F0D" w:rsidRPr="002A30D8" w:rsidRDefault="005C3F0D" w:rsidP="007147FD">
            <w:pPr>
              <w:pStyle w:val="ListParagraph"/>
              <w:ind w:left="0" w:firstLine="0"/>
              <w:rPr>
                <w:sz w:val="22"/>
                <w:szCs w:val="22"/>
              </w:rPr>
            </w:pPr>
            <w:r w:rsidRPr="002A30D8">
              <w:rPr>
                <w:sz w:val="22"/>
                <w:szCs w:val="22"/>
              </w:rPr>
              <w:t>2 (1,230)</w:t>
            </w:r>
          </w:p>
        </w:tc>
        <w:tc>
          <w:tcPr>
            <w:tcW w:w="2276" w:type="dxa"/>
          </w:tcPr>
          <w:p w14:paraId="2C6C338D" w14:textId="1C3F70E0" w:rsidR="005C3F0D" w:rsidRPr="002A30D8" w:rsidRDefault="0071726F" w:rsidP="007147FD">
            <w:pPr>
              <w:pStyle w:val="ListParagraph"/>
              <w:ind w:left="0" w:firstLine="0"/>
              <w:rPr>
                <w:sz w:val="22"/>
                <w:szCs w:val="22"/>
              </w:rPr>
            </w:pPr>
            <w:r w:rsidRPr="002A30D8">
              <w:rPr>
                <w:sz w:val="22"/>
                <w:szCs w:val="22"/>
              </w:rPr>
              <w:t>1 (</w:t>
            </w:r>
            <w:r w:rsidR="00BB2723" w:rsidRPr="002A30D8">
              <w:rPr>
                <w:sz w:val="22"/>
                <w:szCs w:val="22"/>
              </w:rPr>
              <w:t>910)</w:t>
            </w:r>
          </w:p>
        </w:tc>
        <w:tc>
          <w:tcPr>
            <w:tcW w:w="2255" w:type="dxa"/>
          </w:tcPr>
          <w:p w14:paraId="4E026D62" w14:textId="2FB56316" w:rsidR="005C3F0D" w:rsidRPr="002A30D8" w:rsidRDefault="005C3F0D" w:rsidP="007147FD">
            <w:pPr>
              <w:pStyle w:val="ListParagraph"/>
              <w:ind w:left="0" w:firstLine="0"/>
              <w:rPr>
                <w:rFonts w:cs="Arial"/>
                <w:b/>
                <w:bCs/>
                <w:sz w:val="22"/>
                <w:szCs w:val="22"/>
              </w:rPr>
            </w:pPr>
            <w:r w:rsidRPr="002A30D8">
              <w:rPr>
                <w:rFonts w:cs="Arial"/>
                <w:b/>
                <w:bCs/>
                <w:sz w:val="22"/>
                <w:szCs w:val="22"/>
              </w:rPr>
              <w:t>↓</w:t>
            </w:r>
          </w:p>
        </w:tc>
      </w:tr>
      <w:tr w:rsidR="005C3F0D" w:rsidRPr="002A30D8" w14:paraId="129FFAC8" w14:textId="77777777" w:rsidTr="000C58F5">
        <w:tc>
          <w:tcPr>
            <w:tcW w:w="2564" w:type="dxa"/>
            <w:shd w:val="clear" w:color="auto" w:fill="BFBFBF" w:themeFill="background1" w:themeFillShade="BF"/>
          </w:tcPr>
          <w:p w14:paraId="533B7C38" w14:textId="11EC3F33" w:rsidR="005C3F0D" w:rsidRPr="002A30D8" w:rsidRDefault="005C3F0D" w:rsidP="007147FD">
            <w:pPr>
              <w:pStyle w:val="ListParagraph"/>
              <w:ind w:left="0" w:firstLine="0"/>
              <w:rPr>
                <w:sz w:val="22"/>
                <w:szCs w:val="22"/>
              </w:rPr>
            </w:pPr>
            <w:r w:rsidRPr="002A30D8">
              <w:rPr>
                <w:sz w:val="22"/>
                <w:szCs w:val="22"/>
              </w:rPr>
              <w:t>Low income</w:t>
            </w:r>
          </w:p>
        </w:tc>
        <w:tc>
          <w:tcPr>
            <w:tcW w:w="2268" w:type="dxa"/>
          </w:tcPr>
          <w:p w14:paraId="2C194BC2" w14:textId="48CEE074" w:rsidR="005C3F0D" w:rsidRPr="002A30D8" w:rsidRDefault="005C3F0D" w:rsidP="005C3F0D">
            <w:pPr>
              <w:pStyle w:val="ListParagraph"/>
              <w:numPr>
                <w:ilvl w:val="0"/>
                <w:numId w:val="21"/>
              </w:numPr>
              <w:rPr>
                <w:sz w:val="22"/>
                <w:szCs w:val="22"/>
              </w:rPr>
            </w:pPr>
            <w:r w:rsidRPr="002A30D8">
              <w:rPr>
                <w:sz w:val="22"/>
                <w:szCs w:val="22"/>
              </w:rPr>
              <w:t>(160)</w:t>
            </w:r>
          </w:p>
        </w:tc>
        <w:tc>
          <w:tcPr>
            <w:tcW w:w="2276" w:type="dxa"/>
          </w:tcPr>
          <w:p w14:paraId="617C1C07" w14:textId="608ED8CC" w:rsidR="005C3F0D" w:rsidRPr="002A30D8" w:rsidRDefault="00BB2723" w:rsidP="005C3F0D">
            <w:pPr>
              <w:pStyle w:val="ListParagraph"/>
              <w:numPr>
                <w:ilvl w:val="0"/>
                <w:numId w:val="21"/>
              </w:numPr>
              <w:rPr>
                <w:sz w:val="22"/>
                <w:szCs w:val="22"/>
              </w:rPr>
            </w:pPr>
            <w:r w:rsidRPr="002A30D8">
              <w:rPr>
                <w:sz w:val="22"/>
                <w:szCs w:val="22"/>
              </w:rPr>
              <w:t>(90)</w:t>
            </w:r>
          </w:p>
        </w:tc>
        <w:tc>
          <w:tcPr>
            <w:tcW w:w="2255" w:type="dxa"/>
          </w:tcPr>
          <w:p w14:paraId="714C2E7A" w14:textId="29CAD6B3" w:rsidR="005C3F0D" w:rsidRPr="002A30D8" w:rsidRDefault="005C3F0D" w:rsidP="007147FD">
            <w:pPr>
              <w:pStyle w:val="ListParagraph"/>
              <w:ind w:left="0" w:firstLine="0"/>
              <w:rPr>
                <w:rFonts w:cs="Arial"/>
                <w:b/>
                <w:bCs/>
                <w:sz w:val="22"/>
                <w:szCs w:val="22"/>
              </w:rPr>
            </w:pPr>
            <w:r w:rsidRPr="002A30D8">
              <w:rPr>
                <w:rFonts w:cs="Arial"/>
                <w:b/>
                <w:bCs/>
                <w:sz w:val="22"/>
                <w:szCs w:val="22"/>
              </w:rPr>
              <w:t>-</w:t>
            </w:r>
          </w:p>
        </w:tc>
      </w:tr>
      <w:tr w:rsidR="005C3F0D" w:rsidRPr="002A30D8" w14:paraId="0A809A6F" w14:textId="77777777" w:rsidTr="000C58F5">
        <w:tc>
          <w:tcPr>
            <w:tcW w:w="2564" w:type="dxa"/>
            <w:shd w:val="clear" w:color="auto" w:fill="BFBFBF" w:themeFill="background1" w:themeFillShade="BF"/>
          </w:tcPr>
          <w:p w14:paraId="0220C51C" w14:textId="74E41410" w:rsidR="005C3F0D" w:rsidRPr="002A30D8" w:rsidRDefault="005C3F0D" w:rsidP="007147FD">
            <w:pPr>
              <w:pStyle w:val="ListParagraph"/>
              <w:ind w:left="0" w:firstLine="0"/>
              <w:rPr>
                <w:sz w:val="22"/>
                <w:szCs w:val="22"/>
              </w:rPr>
            </w:pPr>
            <w:r w:rsidRPr="002A30D8">
              <w:rPr>
                <w:sz w:val="22"/>
                <w:szCs w:val="22"/>
              </w:rPr>
              <w:t>Absent parenting</w:t>
            </w:r>
          </w:p>
        </w:tc>
        <w:tc>
          <w:tcPr>
            <w:tcW w:w="2268" w:type="dxa"/>
          </w:tcPr>
          <w:p w14:paraId="3E367E84" w14:textId="02D70114" w:rsidR="005C3F0D" w:rsidRPr="002A30D8" w:rsidRDefault="005C3F0D" w:rsidP="007147FD">
            <w:pPr>
              <w:pStyle w:val="ListParagraph"/>
              <w:ind w:left="0" w:firstLine="0"/>
              <w:rPr>
                <w:sz w:val="22"/>
                <w:szCs w:val="22"/>
              </w:rPr>
            </w:pPr>
            <w:r w:rsidRPr="002A30D8">
              <w:rPr>
                <w:sz w:val="22"/>
                <w:szCs w:val="22"/>
              </w:rPr>
              <w:t>6 (4,050)</w:t>
            </w:r>
          </w:p>
        </w:tc>
        <w:tc>
          <w:tcPr>
            <w:tcW w:w="2276" w:type="dxa"/>
          </w:tcPr>
          <w:p w14:paraId="4BA06266" w14:textId="4527456D" w:rsidR="005C3F0D" w:rsidRPr="002A30D8" w:rsidRDefault="00BB2723" w:rsidP="007147FD">
            <w:pPr>
              <w:pStyle w:val="ListParagraph"/>
              <w:ind w:left="0" w:firstLine="0"/>
              <w:rPr>
                <w:sz w:val="22"/>
                <w:szCs w:val="22"/>
              </w:rPr>
            </w:pPr>
            <w:r w:rsidRPr="002A30D8">
              <w:rPr>
                <w:sz w:val="22"/>
                <w:szCs w:val="22"/>
              </w:rPr>
              <w:t>7 (5,790)</w:t>
            </w:r>
          </w:p>
        </w:tc>
        <w:tc>
          <w:tcPr>
            <w:tcW w:w="2255" w:type="dxa"/>
          </w:tcPr>
          <w:p w14:paraId="62EBC8BB" w14:textId="18F5E9BA" w:rsidR="005C3F0D" w:rsidRPr="002A30D8" w:rsidRDefault="00BB2723" w:rsidP="007147FD">
            <w:pPr>
              <w:pStyle w:val="ListParagraph"/>
              <w:ind w:left="0" w:firstLine="0"/>
              <w:rPr>
                <w:rFonts w:cs="Arial"/>
                <w:b/>
                <w:bCs/>
                <w:sz w:val="22"/>
                <w:szCs w:val="22"/>
              </w:rPr>
            </w:pPr>
            <w:r w:rsidRPr="002A30D8">
              <w:rPr>
                <w:rFonts w:cs="Arial"/>
                <w:b/>
                <w:bCs/>
                <w:sz w:val="22"/>
                <w:szCs w:val="22"/>
              </w:rPr>
              <w:t>↑</w:t>
            </w:r>
          </w:p>
        </w:tc>
      </w:tr>
    </w:tbl>
    <w:p w14:paraId="16F4B215" w14:textId="77777777" w:rsidR="0058391B" w:rsidRPr="002A30D8" w:rsidRDefault="0058391B" w:rsidP="0058391B">
      <w:pPr>
        <w:pStyle w:val="ListParagraph"/>
        <w:rPr>
          <w:sz w:val="22"/>
          <w:szCs w:val="22"/>
        </w:rPr>
      </w:pPr>
    </w:p>
    <w:p w14:paraId="4B8DB8BB" w14:textId="255872DE" w:rsidR="0058391B" w:rsidRPr="0058391B" w:rsidRDefault="00C97131" w:rsidP="0058391B">
      <w:pPr>
        <w:pStyle w:val="ListParagraph"/>
        <w:numPr>
          <w:ilvl w:val="0"/>
          <w:numId w:val="20"/>
        </w:numPr>
      </w:pPr>
      <w:r w:rsidRPr="002A30D8">
        <w:rPr>
          <w:sz w:val="22"/>
          <w:szCs w:val="22"/>
        </w:rPr>
        <w:t>The national figures mask significant regional variation</w:t>
      </w:r>
      <w:r w:rsidR="002C74DC" w:rsidRPr="002A30D8">
        <w:rPr>
          <w:sz w:val="22"/>
          <w:szCs w:val="22"/>
        </w:rPr>
        <w:t xml:space="preserve">. For example, rates of children in care vary from </w:t>
      </w:r>
      <w:r w:rsidR="00AC32B7" w:rsidRPr="002A30D8">
        <w:rPr>
          <w:sz w:val="22"/>
          <w:szCs w:val="22"/>
        </w:rPr>
        <w:t>2</w:t>
      </w:r>
      <w:r w:rsidR="009672B2" w:rsidRPr="002A30D8">
        <w:rPr>
          <w:sz w:val="22"/>
          <w:szCs w:val="22"/>
        </w:rPr>
        <w:t>6</w:t>
      </w:r>
      <w:r w:rsidR="00AC32B7" w:rsidRPr="002A30D8">
        <w:rPr>
          <w:sz w:val="22"/>
          <w:szCs w:val="22"/>
        </w:rPr>
        <w:t xml:space="preserve"> per 10,000 children in </w:t>
      </w:r>
      <w:r w:rsidR="009672B2" w:rsidRPr="002A30D8">
        <w:rPr>
          <w:sz w:val="22"/>
          <w:szCs w:val="22"/>
        </w:rPr>
        <w:t>Merton</w:t>
      </w:r>
      <w:r w:rsidR="00AC32B7" w:rsidRPr="002A30D8">
        <w:rPr>
          <w:sz w:val="22"/>
          <w:szCs w:val="22"/>
        </w:rPr>
        <w:t xml:space="preserve"> to 21</w:t>
      </w:r>
      <w:r w:rsidR="009672B2" w:rsidRPr="002A30D8">
        <w:rPr>
          <w:sz w:val="22"/>
          <w:szCs w:val="22"/>
        </w:rPr>
        <w:t>8</w:t>
      </w:r>
      <w:r w:rsidR="00AC32B7" w:rsidRPr="002A30D8">
        <w:rPr>
          <w:sz w:val="22"/>
          <w:szCs w:val="22"/>
        </w:rPr>
        <w:t xml:space="preserve"> per 10,000 children in Blackpool.</w:t>
      </w:r>
    </w:p>
    <w:p w14:paraId="61A88C88" w14:textId="01B05A22" w:rsidR="00E81AC5" w:rsidRDefault="0058391B" w:rsidP="00877471">
      <w:pPr>
        <w:pStyle w:val="Heading3"/>
        <w:ind w:hanging="284"/>
      </w:pPr>
      <w:bookmarkStart w:id="1" w:name="_Toc121229684"/>
      <w:r>
        <w:t xml:space="preserve">Types of </w:t>
      </w:r>
      <w:proofErr w:type="gramStart"/>
      <w:r>
        <w:t>placement</w:t>
      </w:r>
      <w:bookmarkEnd w:id="1"/>
      <w:proofErr w:type="gramEnd"/>
      <w:r w:rsidR="00101F83">
        <w:t xml:space="preserve"> </w:t>
      </w:r>
      <w:r w:rsidR="00101F83" w:rsidRPr="009E5E45">
        <w:rPr>
          <w:color w:val="C00000"/>
        </w:rPr>
        <w:t xml:space="preserve"> </w:t>
      </w:r>
    </w:p>
    <w:p w14:paraId="127265B6" w14:textId="48F163BB" w:rsidR="00BA5321" w:rsidRPr="002A30D8" w:rsidRDefault="00164D09" w:rsidP="0058391B">
      <w:pPr>
        <w:pStyle w:val="ListParagraph"/>
        <w:numPr>
          <w:ilvl w:val="0"/>
          <w:numId w:val="20"/>
        </w:numPr>
        <w:rPr>
          <w:sz w:val="22"/>
          <w:szCs w:val="22"/>
        </w:rPr>
      </w:pPr>
      <w:r w:rsidRPr="002A30D8">
        <w:rPr>
          <w:sz w:val="22"/>
          <w:szCs w:val="22"/>
        </w:rPr>
        <w:t>Most children in care (7</w:t>
      </w:r>
      <w:r w:rsidR="003E6D81" w:rsidRPr="002A30D8">
        <w:rPr>
          <w:sz w:val="22"/>
          <w:szCs w:val="22"/>
        </w:rPr>
        <w:t>0</w:t>
      </w:r>
      <w:r w:rsidRPr="002A30D8">
        <w:rPr>
          <w:sz w:val="22"/>
          <w:szCs w:val="22"/>
        </w:rPr>
        <w:t xml:space="preserve"> per cent) live in foster placements</w:t>
      </w:r>
      <w:r w:rsidR="003C15B3" w:rsidRPr="002A30D8">
        <w:rPr>
          <w:sz w:val="22"/>
          <w:szCs w:val="22"/>
        </w:rPr>
        <w:t>, with a further 9 per cent in children’s homes.</w:t>
      </w:r>
      <w:r w:rsidR="00592F36" w:rsidRPr="002A30D8">
        <w:rPr>
          <w:sz w:val="22"/>
          <w:szCs w:val="22"/>
        </w:rPr>
        <w:t xml:space="preserve"> 7 per cent are placed with their parents or another person with parental responsibility, </w:t>
      </w:r>
      <w:r w:rsidR="003E6D81" w:rsidRPr="002A30D8">
        <w:rPr>
          <w:sz w:val="22"/>
          <w:szCs w:val="22"/>
        </w:rPr>
        <w:t>7</w:t>
      </w:r>
      <w:r w:rsidR="00592F36" w:rsidRPr="002A30D8">
        <w:rPr>
          <w:sz w:val="22"/>
          <w:szCs w:val="22"/>
        </w:rPr>
        <w:t xml:space="preserve"> per cent live in semi-independent accommodation (‘unregulated’), and the rest are in other settings such as </w:t>
      </w:r>
      <w:r w:rsidR="007110BA" w:rsidRPr="002A30D8">
        <w:rPr>
          <w:sz w:val="22"/>
          <w:szCs w:val="22"/>
        </w:rPr>
        <w:t xml:space="preserve">NHS Trust settings, young offender institutions or </w:t>
      </w:r>
      <w:r w:rsidR="00870A6A" w:rsidRPr="002A30D8">
        <w:rPr>
          <w:sz w:val="22"/>
          <w:szCs w:val="22"/>
        </w:rPr>
        <w:t>are placed for adoption (</w:t>
      </w:r>
      <w:hyperlink r:id="rId18" w:history="1">
        <w:r w:rsidR="00870A6A" w:rsidRPr="002A30D8">
          <w:rPr>
            <w:rStyle w:val="Hyperlink"/>
            <w:sz w:val="22"/>
            <w:szCs w:val="22"/>
          </w:rPr>
          <w:t>202</w:t>
        </w:r>
        <w:r w:rsidR="003E6D81" w:rsidRPr="002A30D8">
          <w:rPr>
            <w:rStyle w:val="Hyperlink"/>
            <w:sz w:val="22"/>
            <w:szCs w:val="22"/>
          </w:rPr>
          <w:t>2</w:t>
        </w:r>
        <w:r w:rsidR="00870A6A" w:rsidRPr="002A30D8">
          <w:rPr>
            <w:rStyle w:val="Hyperlink"/>
            <w:sz w:val="22"/>
            <w:szCs w:val="22"/>
          </w:rPr>
          <w:t xml:space="preserve"> data</w:t>
        </w:r>
      </w:hyperlink>
      <w:r w:rsidR="00870A6A" w:rsidRPr="002A30D8">
        <w:rPr>
          <w:sz w:val="22"/>
          <w:szCs w:val="22"/>
        </w:rPr>
        <w:t>)</w:t>
      </w:r>
    </w:p>
    <w:p w14:paraId="6F8BCC94" w14:textId="2BCA9495" w:rsidR="00F07B8E" w:rsidRPr="002A30D8" w:rsidRDefault="005E1937" w:rsidP="0058391B">
      <w:pPr>
        <w:pStyle w:val="ListParagraph"/>
        <w:numPr>
          <w:ilvl w:val="0"/>
          <w:numId w:val="20"/>
        </w:numPr>
        <w:rPr>
          <w:sz w:val="22"/>
          <w:szCs w:val="22"/>
        </w:rPr>
      </w:pPr>
      <w:r w:rsidRPr="002A30D8">
        <w:rPr>
          <w:rFonts w:cs="Arial"/>
          <w:color w:val="0B0C0C"/>
          <w:sz w:val="22"/>
          <w:szCs w:val="22"/>
          <w:shd w:val="clear" w:color="auto" w:fill="FFFFFF"/>
        </w:rPr>
        <w:t>Whilst the number of children in foster placements has increased each year, the overall number of children looked after has increased more quickly, so the proportion of CLA in foster placements has decreased to 70 per cent this year from 73 per cent in 2018. However, the number of all CLA in foster placements with a relative or friend has increased by 29 per cent since 2018, and now represents 15 per cent of all CLA.</w:t>
      </w:r>
    </w:p>
    <w:p w14:paraId="15B2DC64" w14:textId="0A9C1481" w:rsidR="000D7473" w:rsidRPr="002A30D8" w:rsidRDefault="000D7473" w:rsidP="00672B19">
      <w:pPr>
        <w:pStyle w:val="ListParagraph"/>
        <w:numPr>
          <w:ilvl w:val="0"/>
          <w:numId w:val="20"/>
        </w:numPr>
        <w:shd w:val="clear" w:color="auto" w:fill="FFFFFF"/>
        <w:spacing w:after="225" w:line="240" w:lineRule="auto"/>
        <w:rPr>
          <w:rFonts w:eastAsia="Times New Roman" w:cs="Arial"/>
          <w:color w:val="0B0C0C"/>
          <w:sz w:val="22"/>
          <w:szCs w:val="22"/>
          <w:lang w:eastAsia="en-GB"/>
        </w:rPr>
      </w:pPr>
      <w:r w:rsidRPr="002A30D8">
        <w:rPr>
          <w:rFonts w:eastAsia="Times New Roman" w:cs="Arial"/>
          <w:color w:val="0B0C0C"/>
          <w:sz w:val="22"/>
          <w:szCs w:val="22"/>
          <w:lang w:eastAsia="en-GB"/>
        </w:rPr>
        <w:lastRenderedPageBreak/>
        <w:t>The number of children placed in unregulated placements (</w:t>
      </w:r>
      <w:proofErr w:type="gramStart"/>
      <w:r w:rsidRPr="002A30D8">
        <w:rPr>
          <w:rFonts w:eastAsia="Times New Roman" w:cs="Arial"/>
          <w:color w:val="0B0C0C"/>
          <w:sz w:val="22"/>
          <w:szCs w:val="22"/>
          <w:lang w:eastAsia="en-GB"/>
        </w:rPr>
        <w:t>i.e.</w:t>
      </w:r>
      <w:proofErr w:type="gramEnd"/>
      <w:r w:rsidRPr="002A30D8">
        <w:rPr>
          <w:rFonts w:eastAsia="Times New Roman" w:cs="Arial"/>
          <w:color w:val="0B0C0C"/>
          <w:sz w:val="22"/>
          <w:szCs w:val="22"/>
          <w:lang w:eastAsia="en-GB"/>
        </w:rPr>
        <w:t xml:space="preserve"> semi-independent living or living independently) increased by 23 per cent between 2021 and 2022 from 6,080 to 7,470. </w:t>
      </w:r>
      <w:proofErr w:type="gramStart"/>
      <w:r w:rsidRPr="002A30D8">
        <w:rPr>
          <w:rFonts w:eastAsia="Times New Roman" w:cs="Arial"/>
          <w:color w:val="0B0C0C"/>
          <w:sz w:val="22"/>
          <w:szCs w:val="22"/>
          <w:lang w:eastAsia="en-GB"/>
        </w:rPr>
        <w:t>The majority of</w:t>
      </w:r>
      <w:proofErr w:type="gramEnd"/>
      <w:r w:rsidRPr="002A30D8">
        <w:rPr>
          <w:rFonts w:eastAsia="Times New Roman" w:cs="Arial"/>
          <w:color w:val="0B0C0C"/>
          <w:sz w:val="22"/>
          <w:szCs w:val="22"/>
          <w:lang w:eastAsia="en-GB"/>
        </w:rPr>
        <w:t xml:space="preserve"> this increase is in children placed in semi-independent living accommodation, up 27 per cent since last year from 4,280 to 5,440; children living independently increased by 13 per cent from 1,790 to 2,030.</w:t>
      </w:r>
    </w:p>
    <w:p w14:paraId="3D16A307" w14:textId="637C33DD" w:rsidR="00D81A54" w:rsidRPr="002A30D8" w:rsidRDefault="00D81A54" w:rsidP="0058391B">
      <w:pPr>
        <w:pStyle w:val="ListParagraph"/>
        <w:numPr>
          <w:ilvl w:val="0"/>
          <w:numId w:val="20"/>
        </w:numPr>
        <w:rPr>
          <w:sz w:val="22"/>
          <w:szCs w:val="22"/>
        </w:rPr>
      </w:pPr>
      <w:r w:rsidRPr="002A30D8">
        <w:rPr>
          <w:sz w:val="22"/>
          <w:szCs w:val="22"/>
        </w:rPr>
        <w:t>For the year ending 31 March 202</w:t>
      </w:r>
      <w:r w:rsidR="008E1460" w:rsidRPr="002A30D8">
        <w:rPr>
          <w:sz w:val="22"/>
          <w:szCs w:val="22"/>
        </w:rPr>
        <w:t>2</w:t>
      </w:r>
      <w:r w:rsidRPr="002A30D8">
        <w:rPr>
          <w:sz w:val="22"/>
          <w:szCs w:val="22"/>
        </w:rPr>
        <w:t xml:space="preserve">, </w:t>
      </w:r>
      <w:r w:rsidR="008E1460" w:rsidRPr="002A30D8">
        <w:rPr>
          <w:sz w:val="22"/>
          <w:szCs w:val="22"/>
        </w:rPr>
        <w:t>69</w:t>
      </w:r>
      <w:r w:rsidRPr="002A30D8">
        <w:rPr>
          <w:sz w:val="22"/>
          <w:szCs w:val="22"/>
        </w:rPr>
        <w:t xml:space="preserve"> per cent of children had </w:t>
      </w:r>
      <w:hyperlink r:id="rId19" w:history="1">
        <w:r w:rsidRPr="002A30D8">
          <w:rPr>
            <w:rStyle w:val="Hyperlink"/>
            <w:sz w:val="22"/>
            <w:szCs w:val="22"/>
          </w:rPr>
          <w:t>one placement</w:t>
        </w:r>
      </w:hyperlink>
      <w:r w:rsidRPr="002A30D8">
        <w:rPr>
          <w:sz w:val="22"/>
          <w:szCs w:val="22"/>
        </w:rPr>
        <w:t xml:space="preserve"> during the year, 21 per cent had two, and </w:t>
      </w:r>
      <w:r w:rsidR="00FB617C" w:rsidRPr="002A30D8">
        <w:rPr>
          <w:sz w:val="22"/>
          <w:szCs w:val="22"/>
        </w:rPr>
        <w:t>10</w:t>
      </w:r>
      <w:r w:rsidRPr="002A30D8">
        <w:rPr>
          <w:sz w:val="22"/>
          <w:szCs w:val="22"/>
        </w:rPr>
        <w:t xml:space="preserve"> per cent had three</w:t>
      </w:r>
      <w:r w:rsidR="00FB617C" w:rsidRPr="002A30D8">
        <w:rPr>
          <w:sz w:val="22"/>
          <w:szCs w:val="22"/>
        </w:rPr>
        <w:t xml:space="preserve"> or more</w:t>
      </w:r>
      <w:r w:rsidRPr="002A30D8">
        <w:rPr>
          <w:sz w:val="22"/>
          <w:szCs w:val="22"/>
        </w:rPr>
        <w:t>.</w:t>
      </w:r>
    </w:p>
    <w:p w14:paraId="752594D4" w14:textId="546BCA3B" w:rsidR="004748F8" w:rsidRDefault="0058391B" w:rsidP="00877471">
      <w:pPr>
        <w:pStyle w:val="Heading3"/>
        <w:ind w:hanging="284"/>
      </w:pPr>
      <w:bookmarkStart w:id="2" w:name="_Toc121229685"/>
      <w:r>
        <w:t>Sufficiency</w:t>
      </w:r>
      <w:bookmarkEnd w:id="2"/>
    </w:p>
    <w:p w14:paraId="6308399F" w14:textId="618C6ADE" w:rsidR="004748F8" w:rsidRPr="002A30D8" w:rsidRDefault="00CE5E13" w:rsidP="0058391B">
      <w:pPr>
        <w:pStyle w:val="ListParagraph"/>
        <w:numPr>
          <w:ilvl w:val="0"/>
          <w:numId w:val="20"/>
        </w:numPr>
        <w:rPr>
          <w:sz w:val="22"/>
          <w:szCs w:val="22"/>
        </w:rPr>
      </w:pPr>
      <w:r w:rsidRPr="002A30D8">
        <w:rPr>
          <w:sz w:val="22"/>
          <w:szCs w:val="22"/>
        </w:rPr>
        <w:t xml:space="preserve">Sufficiency of placements </w:t>
      </w:r>
      <w:r w:rsidR="00BD10AB" w:rsidRPr="002A30D8">
        <w:rPr>
          <w:sz w:val="22"/>
          <w:szCs w:val="22"/>
        </w:rPr>
        <w:t xml:space="preserve">varies around the country, with </w:t>
      </w:r>
      <w:r w:rsidR="00222F58" w:rsidRPr="002A30D8">
        <w:rPr>
          <w:sz w:val="22"/>
          <w:szCs w:val="22"/>
        </w:rPr>
        <w:t>just over a quarter of all children’s homes, and almost a quarter of all places, in the North West region</w:t>
      </w:r>
      <w:r w:rsidR="00BD10AB" w:rsidRPr="002A30D8">
        <w:rPr>
          <w:sz w:val="22"/>
          <w:szCs w:val="22"/>
        </w:rPr>
        <w:t xml:space="preserve"> at 31 March 2022</w:t>
      </w:r>
      <w:r w:rsidR="00222F58" w:rsidRPr="002A30D8">
        <w:rPr>
          <w:sz w:val="22"/>
          <w:szCs w:val="22"/>
        </w:rPr>
        <w:t xml:space="preserve"> (</w:t>
      </w:r>
      <w:hyperlink r:id="rId20" w:anchor="social-care-providers-and-places-as-at-31-march-2022" w:history="1">
        <w:r w:rsidR="00222F58" w:rsidRPr="002A30D8">
          <w:rPr>
            <w:rStyle w:val="Hyperlink"/>
            <w:sz w:val="22"/>
            <w:szCs w:val="22"/>
          </w:rPr>
          <w:t>source</w:t>
        </w:r>
      </w:hyperlink>
      <w:r w:rsidR="00222F58" w:rsidRPr="002A30D8">
        <w:rPr>
          <w:sz w:val="22"/>
          <w:szCs w:val="22"/>
        </w:rPr>
        <w:t>).</w:t>
      </w:r>
      <w:r w:rsidR="008D19B8" w:rsidRPr="002A30D8">
        <w:rPr>
          <w:sz w:val="22"/>
          <w:szCs w:val="22"/>
        </w:rPr>
        <w:t xml:space="preserve"> Only </w:t>
      </w:r>
      <w:r w:rsidR="008E70B4" w:rsidRPr="002A30D8">
        <w:rPr>
          <w:sz w:val="22"/>
          <w:szCs w:val="22"/>
        </w:rPr>
        <w:t>7</w:t>
      </w:r>
      <w:r w:rsidR="008D19B8" w:rsidRPr="002A30D8">
        <w:rPr>
          <w:sz w:val="22"/>
          <w:szCs w:val="22"/>
        </w:rPr>
        <w:t xml:space="preserve"> per cent of children’s home places were in London.</w:t>
      </w:r>
    </w:p>
    <w:p w14:paraId="47CCAF1E" w14:textId="0F5EE74E" w:rsidR="00295287" w:rsidRPr="002A30D8" w:rsidRDefault="00CE765A" w:rsidP="0058391B">
      <w:pPr>
        <w:pStyle w:val="ListParagraph"/>
        <w:numPr>
          <w:ilvl w:val="0"/>
          <w:numId w:val="20"/>
        </w:numPr>
        <w:rPr>
          <w:sz w:val="22"/>
          <w:szCs w:val="22"/>
        </w:rPr>
      </w:pPr>
      <w:r w:rsidRPr="002A30D8">
        <w:rPr>
          <w:sz w:val="22"/>
          <w:szCs w:val="22"/>
        </w:rPr>
        <w:t xml:space="preserve">Sufficiency must </w:t>
      </w:r>
      <w:r w:rsidR="000E5C74" w:rsidRPr="002A30D8">
        <w:rPr>
          <w:sz w:val="22"/>
          <w:szCs w:val="22"/>
        </w:rPr>
        <w:t>b</w:t>
      </w:r>
      <w:r w:rsidRPr="002A30D8">
        <w:rPr>
          <w:sz w:val="22"/>
          <w:szCs w:val="22"/>
        </w:rPr>
        <w:t xml:space="preserve">e seen in terms of </w:t>
      </w:r>
      <w:r w:rsidR="0011617D" w:rsidRPr="002A30D8">
        <w:rPr>
          <w:sz w:val="22"/>
          <w:szCs w:val="22"/>
        </w:rPr>
        <w:t xml:space="preserve">suitability, rather than simply numbers, of placements. </w:t>
      </w:r>
      <w:hyperlink r:id="rId21" w:anchor="fostering-households" w:history="1">
        <w:r w:rsidR="00295287" w:rsidRPr="002A30D8">
          <w:rPr>
            <w:rStyle w:val="Hyperlink"/>
            <w:sz w:val="22"/>
            <w:szCs w:val="22"/>
          </w:rPr>
          <w:t>Ofsted has reported</w:t>
        </w:r>
      </w:hyperlink>
      <w:r w:rsidR="00295287" w:rsidRPr="002A30D8">
        <w:rPr>
          <w:sz w:val="22"/>
          <w:szCs w:val="22"/>
        </w:rPr>
        <w:t xml:space="preserve"> that “over the last 7 years, the general trend has been of a slow increase in numbers of</w:t>
      </w:r>
      <w:r w:rsidR="00C37F9B" w:rsidRPr="002A30D8">
        <w:rPr>
          <w:sz w:val="22"/>
          <w:szCs w:val="22"/>
        </w:rPr>
        <w:t xml:space="preserve"> [fostering]</w:t>
      </w:r>
      <w:r w:rsidR="00295287" w:rsidRPr="002A30D8">
        <w:rPr>
          <w:sz w:val="22"/>
          <w:szCs w:val="22"/>
        </w:rPr>
        <w:t xml:space="preserve"> places</w:t>
      </w:r>
      <w:r w:rsidR="00777BD7" w:rsidRPr="002A30D8">
        <w:rPr>
          <w:sz w:val="22"/>
          <w:szCs w:val="22"/>
        </w:rPr>
        <w:t>…</w:t>
      </w:r>
      <w:r w:rsidR="00295287" w:rsidRPr="002A30D8">
        <w:rPr>
          <w:sz w:val="22"/>
          <w:szCs w:val="22"/>
        </w:rPr>
        <w:t>However, this increase has not kept up with the demand for places, with the number of children in foster care having increased by around 11</w:t>
      </w:r>
      <w:r w:rsidR="00C37F9B" w:rsidRPr="002A30D8">
        <w:rPr>
          <w:sz w:val="22"/>
          <w:szCs w:val="22"/>
        </w:rPr>
        <w:t xml:space="preserve"> cent</w:t>
      </w:r>
      <w:r w:rsidR="00295287" w:rsidRPr="002A30D8">
        <w:rPr>
          <w:sz w:val="22"/>
          <w:szCs w:val="22"/>
        </w:rPr>
        <w:t xml:space="preserve"> over the period to March 2020. </w:t>
      </w:r>
      <w:hyperlink r:id="rId22" w:history="1">
        <w:r w:rsidR="001308FD" w:rsidRPr="002A30D8">
          <w:rPr>
            <w:rStyle w:val="Hyperlink"/>
            <w:sz w:val="22"/>
            <w:szCs w:val="22"/>
          </w:rPr>
          <w:t>[Ofsted’s]</w:t>
        </w:r>
        <w:r w:rsidR="00295287" w:rsidRPr="002A30D8">
          <w:rPr>
            <w:rStyle w:val="Hyperlink"/>
            <w:sz w:val="22"/>
            <w:szCs w:val="22"/>
          </w:rPr>
          <w:t xml:space="preserve"> own research</w:t>
        </w:r>
      </w:hyperlink>
      <w:r w:rsidR="00295287" w:rsidRPr="002A30D8">
        <w:rPr>
          <w:sz w:val="22"/>
          <w:szCs w:val="22"/>
        </w:rPr>
        <w:t xml:space="preserve">, along with that carried out by </w:t>
      </w:r>
      <w:hyperlink r:id="rId23" w:history="1">
        <w:r w:rsidR="00295287" w:rsidRPr="002A30D8">
          <w:rPr>
            <w:rStyle w:val="Hyperlink"/>
            <w:sz w:val="22"/>
            <w:szCs w:val="22"/>
          </w:rPr>
          <w:t>The Competition and Markets Authority (CMA)</w:t>
        </w:r>
      </w:hyperlink>
      <w:r w:rsidR="00295287" w:rsidRPr="002A30D8">
        <w:rPr>
          <w:sz w:val="22"/>
          <w:szCs w:val="22"/>
        </w:rPr>
        <w:t>, indicates that although there are more approved places than children in foster care, this does not mean that there are sufficient appropriate placements for children.</w:t>
      </w:r>
      <w:r w:rsidRPr="002A30D8">
        <w:rPr>
          <w:sz w:val="22"/>
          <w:szCs w:val="22"/>
        </w:rPr>
        <w:t>”</w:t>
      </w:r>
    </w:p>
    <w:p w14:paraId="1A461538" w14:textId="3C7FF52E" w:rsidR="00AE6774" w:rsidRPr="002A30D8" w:rsidRDefault="00AA07CB" w:rsidP="0058391B">
      <w:pPr>
        <w:pStyle w:val="ListParagraph"/>
        <w:numPr>
          <w:ilvl w:val="0"/>
          <w:numId w:val="20"/>
        </w:numPr>
        <w:rPr>
          <w:sz w:val="22"/>
          <w:szCs w:val="22"/>
        </w:rPr>
      </w:pPr>
      <w:r w:rsidRPr="002A30D8">
        <w:rPr>
          <w:sz w:val="22"/>
          <w:szCs w:val="22"/>
        </w:rPr>
        <w:t xml:space="preserve">One in every six fostering households in England offers family and friends provision, providing care for about one in five fostered children. These placements </w:t>
      </w:r>
      <w:r w:rsidR="0090398D" w:rsidRPr="002A30D8">
        <w:rPr>
          <w:sz w:val="22"/>
          <w:szCs w:val="22"/>
        </w:rPr>
        <w:t>have a separate approval process to other types of foster care and approvals are usually for the care of a specific child or children.</w:t>
      </w:r>
      <w:r w:rsidR="008E432E" w:rsidRPr="002A30D8">
        <w:rPr>
          <w:sz w:val="22"/>
          <w:szCs w:val="22"/>
        </w:rPr>
        <w:t xml:space="preserve"> </w:t>
      </w:r>
      <w:r w:rsidR="0081055B" w:rsidRPr="002A30D8">
        <w:rPr>
          <w:sz w:val="22"/>
          <w:szCs w:val="22"/>
        </w:rPr>
        <w:t>Friends and family placements make up an increasing proportion of local authority fostering households, in line with the expectation that councils place children with family and friends wherever possible.</w:t>
      </w:r>
    </w:p>
    <w:p w14:paraId="3D44272D" w14:textId="60BF7EFA" w:rsidR="00D01888" w:rsidRPr="002A30D8" w:rsidRDefault="00D01888" w:rsidP="00FE432F">
      <w:pPr>
        <w:pStyle w:val="ListParagraph"/>
        <w:numPr>
          <w:ilvl w:val="0"/>
          <w:numId w:val="20"/>
        </w:numPr>
        <w:rPr>
          <w:sz w:val="22"/>
          <w:szCs w:val="22"/>
        </w:rPr>
      </w:pPr>
      <w:r w:rsidRPr="002A30D8">
        <w:rPr>
          <w:sz w:val="22"/>
          <w:szCs w:val="22"/>
        </w:rPr>
        <w:t xml:space="preserve">There are 13 </w:t>
      </w:r>
      <w:hyperlink r:id="rId24" w:anchor="childrens-homes-of-all-types-1" w:history="1">
        <w:r w:rsidRPr="002A30D8">
          <w:rPr>
            <w:rStyle w:val="Hyperlink"/>
            <w:sz w:val="22"/>
            <w:szCs w:val="22"/>
          </w:rPr>
          <w:t>secure children’s homes</w:t>
        </w:r>
      </w:hyperlink>
      <w:r w:rsidRPr="002A30D8">
        <w:rPr>
          <w:sz w:val="22"/>
          <w:szCs w:val="22"/>
        </w:rPr>
        <w:t xml:space="preserve"> in England, 12 run by councils and one by a voluntary organisation. They are registered </w:t>
      </w:r>
      <w:r w:rsidR="00FE432F" w:rsidRPr="002A30D8">
        <w:rPr>
          <w:sz w:val="22"/>
          <w:szCs w:val="22"/>
        </w:rPr>
        <w:t xml:space="preserve">132 welfare places and 101 youth custody places. At any one time, 50 children (up from 25 last year) are waiting for a secure children’s homes place, and 30 (up from 20 last year) are placed by English councils in Scottish secure units due to the lack of available places. </w:t>
      </w:r>
      <w:r w:rsidR="00AE3A0D" w:rsidRPr="002A30D8">
        <w:rPr>
          <w:sz w:val="22"/>
          <w:szCs w:val="22"/>
        </w:rPr>
        <w:t>The Scottish Care Review recommended that Scotland no longer takes placements from English local authorities, and work is currently underway to look at how this might be implemented.</w:t>
      </w:r>
    </w:p>
    <w:p w14:paraId="6C4E0730" w14:textId="3588688E" w:rsidR="0058391B" w:rsidRDefault="0058391B" w:rsidP="00877471">
      <w:pPr>
        <w:pStyle w:val="Heading3"/>
        <w:ind w:hanging="284"/>
      </w:pPr>
      <w:bookmarkStart w:id="3" w:name="_Toc121229686"/>
      <w:r>
        <w:t>Providers</w:t>
      </w:r>
      <w:bookmarkEnd w:id="3"/>
    </w:p>
    <w:p w14:paraId="3355083C" w14:textId="51257C04" w:rsidR="007119FB" w:rsidRPr="002A30D8" w:rsidRDefault="008B037E" w:rsidP="0058391B">
      <w:pPr>
        <w:pStyle w:val="ListParagraph"/>
        <w:numPr>
          <w:ilvl w:val="0"/>
          <w:numId w:val="20"/>
        </w:numPr>
        <w:rPr>
          <w:sz w:val="22"/>
          <w:szCs w:val="22"/>
        </w:rPr>
      </w:pPr>
      <w:hyperlink r:id="rId25" w:anchor="childrens-homes-of-all-types-1" w:history="1">
        <w:r w:rsidR="00B15A97" w:rsidRPr="002A30D8">
          <w:rPr>
            <w:rStyle w:val="Hyperlink"/>
            <w:sz w:val="22"/>
            <w:szCs w:val="22"/>
          </w:rPr>
          <w:t>Children’s homes</w:t>
        </w:r>
      </w:hyperlink>
      <w:r w:rsidR="00B15A97" w:rsidRPr="002A30D8">
        <w:rPr>
          <w:sz w:val="22"/>
          <w:szCs w:val="22"/>
        </w:rPr>
        <w:t xml:space="preserve">: </w:t>
      </w:r>
      <w:r w:rsidR="005E57EC" w:rsidRPr="002A30D8">
        <w:rPr>
          <w:sz w:val="22"/>
          <w:szCs w:val="22"/>
        </w:rPr>
        <w:t xml:space="preserve">As </w:t>
      </w:r>
      <w:proofErr w:type="gramStart"/>
      <w:r w:rsidR="005E57EC" w:rsidRPr="002A30D8">
        <w:rPr>
          <w:sz w:val="22"/>
          <w:szCs w:val="22"/>
        </w:rPr>
        <w:t>at</w:t>
      </w:r>
      <w:proofErr w:type="gramEnd"/>
      <w:r w:rsidR="005E57EC" w:rsidRPr="002A30D8">
        <w:rPr>
          <w:sz w:val="22"/>
          <w:szCs w:val="22"/>
        </w:rPr>
        <w:t xml:space="preserve"> 31 March 202</w:t>
      </w:r>
      <w:r w:rsidR="00D15624" w:rsidRPr="002A30D8">
        <w:rPr>
          <w:sz w:val="22"/>
          <w:szCs w:val="22"/>
        </w:rPr>
        <w:t>2</w:t>
      </w:r>
      <w:r w:rsidR="007119FB" w:rsidRPr="002A30D8">
        <w:rPr>
          <w:sz w:val="22"/>
          <w:szCs w:val="22"/>
        </w:rPr>
        <w:t>:</w:t>
      </w:r>
    </w:p>
    <w:p w14:paraId="3B610F50" w14:textId="136E3E95" w:rsidR="007119FB" w:rsidRPr="002A30D8" w:rsidRDefault="005E57EC" w:rsidP="007119FB">
      <w:pPr>
        <w:pStyle w:val="ListParagraph"/>
        <w:numPr>
          <w:ilvl w:val="1"/>
          <w:numId w:val="20"/>
        </w:numPr>
        <w:rPr>
          <w:sz w:val="22"/>
          <w:szCs w:val="22"/>
        </w:rPr>
      </w:pPr>
      <w:r w:rsidRPr="002A30D8">
        <w:rPr>
          <w:sz w:val="22"/>
          <w:szCs w:val="22"/>
        </w:rPr>
        <w:t xml:space="preserve">private companies ran </w:t>
      </w:r>
      <w:r w:rsidR="00E33023" w:rsidRPr="002A30D8">
        <w:rPr>
          <w:sz w:val="22"/>
          <w:szCs w:val="22"/>
        </w:rPr>
        <w:t>84</w:t>
      </w:r>
      <w:r w:rsidRPr="002A30D8">
        <w:rPr>
          <w:sz w:val="22"/>
          <w:szCs w:val="22"/>
        </w:rPr>
        <w:t xml:space="preserve"> per cent of children’s homes (2,</w:t>
      </w:r>
      <w:r w:rsidR="002D4E15" w:rsidRPr="002A30D8">
        <w:rPr>
          <w:sz w:val="22"/>
          <w:szCs w:val="22"/>
        </w:rPr>
        <w:t>208</w:t>
      </w:r>
      <w:r w:rsidRPr="002A30D8">
        <w:rPr>
          <w:sz w:val="22"/>
          <w:szCs w:val="22"/>
        </w:rPr>
        <w:t xml:space="preserve">), providing </w:t>
      </w:r>
      <w:r w:rsidR="002D4E15" w:rsidRPr="002A30D8">
        <w:rPr>
          <w:sz w:val="22"/>
          <w:szCs w:val="22"/>
        </w:rPr>
        <w:t>8,023</w:t>
      </w:r>
      <w:r w:rsidRPr="002A30D8">
        <w:rPr>
          <w:sz w:val="22"/>
          <w:szCs w:val="22"/>
        </w:rPr>
        <w:t xml:space="preserve"> (7</w:t>
      </w:r>
      <w:r w:rsidR="002D4E15" w:rsidRPr="002A30D8">
        <w:rPr>
          <w:sz w:val="22"/>
          <w:szCs w:val="22"/>
        </w:rPr>
        <w:t>9</w:t>
      </w:r>
      <w:r w:rsidRPr="002A30D8">
        <w:rPr>
          <w:sz w:val="22"/>
          <w:szCs w:val="22"/>
        </w:rPr>
        <w:t xml:space="preserve"> per cent) places. </w:t>
      </w:r>
    </w:p>
    <w:p w14:paraId="1C9FA4D1" w14:textId="79AE52AE" w:rsidR="007119FB" w:rsidRPr="002A30D8" w:rsidRDefault="005E57EC" w:rsidP="007119FB">
      <w:pPr>
        <w:pStyle w:val="ListParagraph"/>
        <w:numPr>
          <w:ilvl w:val="1"/>
          <w:numId w:val="20"/>
        </w:numPr>
        <w:rPr>
          <w:sz w:val="22"/>
          <w:szCs w:val="22"/>
        </w:rPr>
      </w:pPr>
      <w:r w:rsidRPr="002A30D8">
        <w:rPr>
          <w:sz w:val="22"/>
          <w:szCs w:val="22"/>
        </w:rPr>
        <w:t>LAs ran</w:t>
      </w:r>
      <w:r w:rsidR="007119FB" w:rsidRPr="002A30D8">
        <w:rPr>
          <w:sz w:val="22"/>
          <w:szCs w:val="22"/>
        </w:rPr>
        <w:t xml:space="preserve"> </w:t>
      </w:r>
      <w:r w:rsidRPr="002A30D8">
        <w:rPr>
          <w:sz w:val="22"/>
          <w:szCs w:val="22"/>
        </w:rPr>
        <w:t>1</w:t>
      </w:r>
      <w:r w:rsidR="002D4E15" w:rsidRPr="002A30D8">
        <w:rPr>
          <w:sz w:val="22"/>
          <w:szCs w:val="22"/>
        </w:rPr>
        <w:t>3</w:t>
      </w:r>
      <w:r w:rsidRPr="002A30D8">
        <w:rPr>
          <w:sz w:val="22"/>
          <w:szCs w:val="22"/>
        </w:rPr>
        <w:t xml:space="preserve"> per cent (3</w:t>
      </w:r>
      <w:r w:rsidR="002D4E15" w:rsidRPr="002A30D8">
        <w:rPr>
          <w:sz w:val="22"/>
          <w:szCs w:val="22"/>
        </w:rPr>
        <w:t>40</w:t>
      </w:r>
      <w:r w:rsidRPr="002A30D8">
        <w:rPr>
          <w:sz w:val="22"/>
          <w:szCs w:val="22"/>
        </w:rPr>
        <w:t>) of children’s homes, providing 16 per cent (1,</w:t>
      </w:r>
      <w:r w:rsidR="002D4E15" w:rsidRPr="002A30D8">
        <w:rPr>
          <w:sz w:val="22"/>
          <w:szCs w:val="22"/>
        </w:rPr>
        <w:t>485</w:t>
      </w:r>
      <w:r w:rsidRPr="002A30D8">
        <w:rPr>
          <w:sz w:val="22"/>
          <w:szCs w:val="22"/>
        </w:rPr>
        <w:t xml:space="preserve">) of places. </w:t>
      </w:r>
    </w:p>
    <w:p w14:paraId="4D1FCF33" w14:textId="53F14DFB" w:rsidR="0058391B" w:rsidRPr="002A30D8" w:rsidRDefault="005E57EC" w:rsidP="007119FB">
      <w:pPr>
        <w:pStyle w:val="ListParagraph"/>
        <w:numPr>
          <w:ilvl w:val="1"/>
          <w:numId w:val="20"/>
        </w:numPr>
        <w:rPr>
          <w:sz w:val="22"/>
          <w:szCs w:val="22"/>
        </w:rPr>
      </w:pPr>
      <w:r w:rsidRPr="002A30D8">
        <w:rPr>
          <w:sz w:val="22"/>
          <w:szCs w:val="22"/>
        </w:rPr>
        <w:t>Voluntary providers ran 9</w:t>
      </w:r>
      <w:r w:rsidR="002D4E15" w:rsidRPr="002A30D8">
        <w:rPr>
          <w:sz w:val="22"/>
          <w:szCs w:val="22"/>
        </w:rPr>
        <w:t>4</w:t>
      </w:r>
      <w:r w:rsidRPr="002A30D8">
        <w:rPr>
          <w:sz w:val="22"/>
          <w:szCs w:val="22"/>
        </w:rPr>
        <w:t xml:space="preserve"> homes (4 per cent), providing </w:t>
      </w:r>
      <w:r w:rsidR="002D4E15" w:rsidRPr="002A30D8">
        <w:rPr>
          <w:sz w:val="22"/>
          <w:szCs w:val="22"/>
        </w:rPr>
        <w:t>491</w:t>
      </w:r>
      <w:r w:rsidRPr="002A30D8">
        <w:rPr>
          <w:sz w:val="22"/>
          <w:szCs w:val="22"/>
        </w:rPr>
        <w:t xml:space="preserve"> places (5 per cent).</w:t>
      </w:r>
    </w:p>
    <w:p w14:paraId="334B1D85" w14:textId="1EE8FD56" w:rsidR="0069696E" w:rsidRPr="002A30D8" w:rsidRDefault="008B037E" w:rsidP="0058391B">
      <w:pPr>
        <w:pStyle w:val="ListParagraph"/>
        <w:numPr>
          <w:ilvl w:val="0"/>
          <w:numId w:val="20"/>
        </w:numPr>
        <w:rPr>
          <w:sz w:val="22"/>
          <w:szCs w:val="22"/>
        </w:rPr>
      </w:pPr>
      <w:hyperlink r:id="rId26" w:history="1">
        <w:r w:rsidR="0069696E" w:rsidRPr="002A30D8">
          <w:rPr>
            <w:rStyle w:val="Hyperlink"/>
            <w:sz w:val="22"/>
            <w:szCs w:val="22"/>
          </w:rPr>
          <w:t>Foster care</w:t>
        </w:r>
      </w:hyperlink>
      <w:r w:rsidR="0069696E" w:rsidRPr="002A30D8">
        <w:rPr>
          <w:sz w:val="22"/>
          <w:szCs w:val="22"/>
        </w:rPr>
        <w:t xml:space="preserve">: </w:t>
      </w:r>
      <w:r w:rsidR="00953AA0" w:rsidRPr="002A30D8">
        <w:rPr>
          <w:sz w:val="22"/>
          <w:szCs w:val="22"/>
        </w:rPr>
        <w:t>As at March 202</w:t>
      </w:r>
      <w:r w:rsidR="003975EA" w:rsidRPr="002A30D8">
        <w:rPr>
          <w:sz w:val="22"/>
          <w:szCs w:val="22"/>
        </w:rPr>
        <w:t xml:space="preserve">2, IFAs accounted for </w:t>
      </w:r>
      <w:r w:rsidR="00F33B52" w:rsidRPr="002A30D8">
        <w:rPr>
          <w:sz w:val="22"/>
          <w:szCs w:val="22"/>
        </w:rPr>
        <w:t xml:space="preserve">45 per cent of all filled fostering placements, an increase of 5 per cent since 2018. </w:t>
      </w:r>
    </w:p>
    <w:p w14:paraId="6B4B9B84" w14:textId="378256D1" w:rsidR="00C236B3" w:rsidRPr="002A30D8" w:rsidRDefault="008B037E" w:rsidP="0058391B">
      <w:pPr>
        <w:pStyle w:val="ListParagraph"/>
        <w:numPr>
          <w:ilvl w:val="0"/>
          <w:numId w:val="20"/>
        </w:numPr>
        <w:rPr>
          <w:sz w:val="22"/>
          <w:szCs w:val="22"/>
        </w:rPr>
      </w:pPr>
      <w:hyperlink r:id="rId27" w:history="1">
        <w:r w:rsidR="00156F04" w:rsidRPr="002A30D8">
          <w:rPr>
            <w:rStyle w:val="Hyperlink"/>
            <w:sz w:val="22"/>
            <w:szCs w:val="22"/>
          </w:rPr>
          <w:t>Research for the LGA</w:t>
        </w:r>
      </w:hyperlink>
      <w:r w:rsidR="00156F04" w:rsidRPr="002A30D8">
        <w:rPr>
          <w:sz w:val="22"/>
          <w:szCs w:val="22"/>
        </w:rPr>
        <w:t xml:space="preserve"> published in March 2022 found t</w:t>
      </w:r>
      <w:r w:rsidR="006614A7" w:rsidRPr="002A30D8">
        <w:rPr>
          <w:sz w:val="22"/>
          <w:szCs w:val="22"/>
        </w:rPr>
        <w:t>hat eight of the largest ten independent providers of placements in England had private equity ownership</w:t>
      </w:r>
      <w:r w:rsidR="00BD10AB" w:rsidRPr="002A30D8">
        <w:rPr>
          <w:sz w:val="22"/>
          <w:szCs w:val="22"/>
        </w:rPr>
        <w:t>.</w:t>
      </w:r>
    </w:p>
    <w:p w14:paraId="1E4960DA" w14:textId="52EAC772" w:rsidR="00B3745D" w:rsidRPr="002A30D8" w:rsidRDefault="00B3745D" w:rsidP="0058391B">
      <w:pPr>
        <w:pStyle w:val="ListParagraph"/>
        <w:numPr>
          <w:ilvl w:val="0"/>
          <w:numId w:val="20"/>
        </w:numPr>
        <w:rPr>
          <w:sz w:val="22"/>
          <w:szCs w:val="22"/>
        </w:rPr>
      </w:pPr>
      <w:r w:rsidRPr="002A30D8">
        <w:rPr>
          <w:sz w:val="22"/>
          <w:szCs w:val="22"/>
        </w:rPr>
        <w:t xml:space="preserve">Ofsted has worked with councils to build a </w:t>
      </w:r>
      <w:hyperlink r:id="rId28" w:history="1">
        <w:r w:rsidRPr="002A30D8">
          <w:rPr>
            <w:rStyle w:val="Hyperlink"/>
            <w:sz w:val="22"/>
            <w:szCs w:val="22"/>
          </w:rPr>
          <w:t>picture of unregulated provision</w:t>
        </w:r>
      </w:hyperlink>
      <w:r w:rsidRPr="002A30D8">
        <w:rPr>
          <w:sz w:val="22"/>
          <w:szCs w:val="22"/>
        </w:rPr>
        <w:t xml:space="preserve"> in advance of </w:t>
      </w:r>
      <w:r w:rsidR="00812A70" w:rsidRPr="002A30D8">
        <w:rPr>
          <w:sz w:val="22"/>
          <w:szCs w:val="22"/>
        </w:rPr>
        <w:t>regulation being introduced for this type of provision. This found that:</w:t>
      </w:r>
    </w:p>
    <w:p w14:paraId="13F23D67" w14:textId="123B455B" w:rsidR="00812A70" w:rsidRPr="002A30D8" w:rsidRDefault="00812A70" w:rsidP="00812A70">
      <w:pPr>
        <w:pStyle w:val="ListParagraph"/>
        <w:numPr>
          <w:ilvl w:val="1"/>
          <w:numId w:val="20"/>
        </w:numPr>
        <w:rPr>
          <w:sz w:val="22"/>
          <w:szCs w:val="22"/>
        </w:rPr>
      </w:pPr>
      <w:r w:rsidRPr="002A30D8">
        <w:rPr>
          <w:sz w:val="22"/>
          <w:szCs w:val="22"/>
        </w:rPr>
        <w:t xml:space="preserve">There are around 1,100 supported accommodation providers in England, with </w:t>
      </w:r>
      <w:r w:rsidR="00003955" w:rsidRPr="002A30D8">
        <w:rPr>
          <w:sz w:val="22"/>
          <w:szCs w:val="22"/>
        </w:rPr>
        <w:t>two thirds operating in only one council area and nearly half only supporting one or two young people.</w:t>
      </w:r>
    </w:p>
    <w:p w14:paraId="06E06238" w14:textId="0B64D7CC" w:rsidR="00AB5199" w:rsidRPr="002A30D8" w:rsidRDefault="00555718" w:rsidP="00812A70">
      <w:pPr>
        <w:pStyle w:val="ListParagraph"/>
        <w:numPr>
          <w:ilvl w:val="1"/>
          <w:numId w:val="20"/>
        </w:numPr>
        <w:rPr>
          <w:sz w:val="22"/>
          <w:szCs w:val="22"/>
        </w:rPr>
      </w:pPr>
      <w:r w:rsidRPr="002A30D8">
        <w:rPr>
          <w:sz w:val="22"/>
          <w:szCs w:val="22"/>
        </w:rPr>
        <w:t>Accommodation varied from single-occupancy flats to hostel-type provision, to supported lodgings or small group living arrangements.</w:t>
      </w:r>
    </w:p>
    <w:p w14:paraId="36B76B87" w14:textId="4153ECC4" w:rsidR="002E50AC" w:rsidRPr="002A30D8" w:rsidRDefault="002E50AC" w:rsidP="00812A70">
      <w:pPr>
        <w:pStyle w:val="ListParagraph"/>
        <w:numPr>
          <w:ilvl w:val="1"/>
          <w:numId w:val="20"/>
        </w:numPr>
        <w:rPr>
          <w:sz w:val="22"/>
          <w:szCs w:val="22"/>
        </w:rPr>
      </w:pPr>
      <w:r w:rsidRPr="002A30D8">
        <w:rPr>
          <w:sz w:val="22"/>
          <w:szCs w:val="22"/>
        </w:rPr>
        <w:t xml:space="preserve">Around 7,000 young people were living in supported accommodation, almost as many as living in children’s homes. </w:t>
      </w:r>
      <w:r w:rsidR="00DD35CB" w:rsidRPr="002A30D8">
        <w:rPr>
          <w:sz w:val="22"/>
          <w:szCs w:val="22"/>
        </w:rPr>
        <w:t>Most of these (around 5,300) were aged 17</w:t>
      </w:r>
      <w:r w:rsidR="007147FD" w:rsidRPr="002A30D8">
        <w:rPr>
          <w:sz w:val="22"/>
          <w:szCs w:val="22"/>
        </w:rPr>
        <w:t>.</w:t>
      </w:r>
    </w:p>
    <w:p w14:paraId="4F5EC9AD" w14:textId="1F5B42A7" w:rsidR="00E81AC5" w:rsidRPr="002422C3" w:rsidRDefault="0058391B" w:rsidP="00877471">
      <w:pPr>
        <w:pStyle w:val="Heading3"/>
        <w:ind w:hanging="284"/>
      </w:pPr>
      <w:bookmarkStart w:id="4" w:name="_Toc121229687"/>
      <w:r>
        <w:t>Cost</w:t>
      </w:r>
      <w:bookmarkEnd w:id="4"/>
      <w:r w:rsidR="00B10AD7" w:rsidRPr="002422C3">
        <w:t xml:space="preserve"> </w:t>
      </w:r>
      <w:r w:rsidR="00163183">
        <w:t>and profit</w:t>
      </w:r>
      <w:r w:rsidR="002A30D8">
        <w:t>-making</w:t>
      </w:r>
    </w:p>
    <w:p w14:paraId="25489F6C" w14:textId="0D58419F" w:rsidR="00964A91" w:rsidRPr="002A30D8" w:rsidRDefault="00964A91" w:rsidP="0058391B">
      <w:pPr>
        <w:pStyle w:val="ListParagraph"/>
        <w:numPr>
          <w:ilvl w:val="0"/>
          <w:numId w:val="20"/>
        </w:numPr>
        <w:rPr>
          <w:sz w:val="22"/>
          <w:szCs w:val="22"/>
        </w:rPr>
      </w:pPr>
      <w:r w:rsidRPr="002A30D8">
        <w:rPr>
          <w:sz w:val="22"/>
          <w:szCs w:val="22"/>
        </w:rPr>
        <w:t xml:space="preserve">Councils </w:t>
      </w:r>
      <w:hyperlink r:id="rId29" w:history="1">
        <w:r w:rsidRPr="002A30D8">
          <w:rPr>
            <w:rStyle w:val="Hyperlink"/>
            <w:sz w:val="22"/>
            <w:szCs w:val="22"/>
          </w:rPr>
          <w:t>report</w:t>
        </w:r>
      </w:hyperlink>
      <w:r w:rsidRPr="002A30D8">
        <w:rPr>
          <w:sz w:val="22"/>
          <w:szCs w:val="22"/>
        </w:rPr>
        <w:t xml:space="preserve"> a total expenditure</w:t>
      </w:r>
      <w:r w:rsidR="00214F92" w:rsidRPr="002A30D8">
        <w:rPr>
          <w:sz w:val="22"/>
          <w:szCs w:val="22"/>
        </w:rPr>
        <w:t xml:space="preserve"> of </w:t>
      </w:r>
      <w:r w:rsidR="0063688A" w:rsidRPr="002A30D8">
        <w:rPr>
          <w:sz w:val="22"/>
          <w:szCs w:val="22"/>
        </w:rPr>
        <w:t>£3,672 million on in-house and independent fostering and children’s homes placements in 202</w:t>
      </w:r>
      <w:r w:rsidR="00076CDF" w:rsidRPr="002A30D8">
        <w:rPr>
          <w:sz w:val="22"/>
          <w:szCs w:val="22"/>
        </w:rPr>
        <w:t xml:space="preserve">0-21. This is an increase from £2,670 million in </w:t>
      </w:r>
      <w:r w:rsidR="00C63D50" w:rsidRPr="002A30D8">
        <w:rPr>
          <w:sz w:val="22"/>
          <w:szCs w:val="22"/>
        </w:rPr>
        <w:t xml:space="preserve">2015-16, or an increase of </w:t>
      </w:r>
      <w:r w:rsidR="0087017A" w:rsidRPr="002A30D8">
        <w:rPr>
          <w:sz w:val="22"/>
          <w:szCs w:val="22"/>
        </w:rPr>
        <w:t>37.5</w:t>
      </w:r>
      <w:r w:rsidR="00C63D50" w:rsidRPr="002A30D8">
        <w:rPr>
          <w:sz w:val="22"/>
          <w:szCs w:val="22"/>
        </w:rPr>
        <w:t xml:space="preserve"> per cent.</w:t>
      </w:r>
      <w:r w:rsidR="00E52BB7" w:rsidRPr="002A30D8">
        <w:rPr>
          <w:sz w:val="22"/>
          <w:szCs w:val="22"/>
        </w:rPr>
        <w:t xml:space="preserve"> </w:t>
      </w:r>
      <w:r w:rsidR="00FA2F9E" w:rsidRPr="002A30D8">
        <w:rPr>
          <w:sz w:val="22"/>
          <w:szCs w:val="22"/>
        </w:rPr>
        <w:t>For context, the corresponding increase in the number of children in care was 14.8 per cent.</w:t>
      </w:r>
    </w:p>
    <w:p w14:paraId="459C6621" w14:textId="4D560CD2" w:rsidR="00964A91" w:rsidRPr="002A30D8" w:rsidRDefault="00801430" w:rsidP="0058391B">
      <w:pPr>
        <w:pStyle w:val="ListParagraph"/>
        <w:numPr>
          <w:ilvl w:val="0"/>
          <w:numId w:val="20"/>
        </w:numPr>
        <w:rPr>
          <w:sz w:val="22"/>
          <w:szCs w:val="22"/>
        </w:rPr>
      </w:pPr>
      <w:r w:rsidRPr="002A30D8">
        <w:rPr>
          <w:sz w:val="22"/>
          <w:szCs w:val="22"/>
        </w:rPr>
        <w:t>This breaks down to:</w:t>
      </w:r>
    </w:p>
    <w:tbl>
      <w:tblPr>
        <w:tblStyle w:val="TableGrid"/>
        <w:tblW w:w="0" w:type="auto"/>
        <w:tblLook w:val="04A0" w:firstRow="1" w:lastRow="0" w:firstColumn="1" w:lastColumn="0" w:noHBand="0" w:noVBand="1"/>
      </w:tblPr>
      <w:tblGrid>
        <w:gridCol w:w="3681"/>
        <w:gridCol w:w="1984"/>
        <w:gridCol w:w="1985"/>
        <w:gridCol w:w="1843"/>
      </w:tblGrid>
      <w:tr w:rsidR="00E24C3C" w:rsidRPr="002A30D8" w14:paraId="37D78292" w14:textId="0A69F03C" w:rsidTr="00E24C3C">
        <w:tc>
          <w:tcPr>
            <w:tcW w:w="3681" w:type="dxa"/>
            <w:shd w:val="clear" w:color="auto" w:fill="F2F2F2" w:themeFill="background1" w:themeFillShade="F2"/>
          </w:tcPr>
          <w:p w14:paraId="7739A204" w14:textId="0894AEDE" w:rsidR="00E24C3C" w:rsidRPr="002A30D8" w:rsidRDefault="00E24C3C" w:rsidP="00801430">
            <w:pPr>
              <w:ind w:firstLine="0"/>
              <w:rPr>
                <w:sz w:val="22"/>
                <w:szCs w:val="22"/>
              </w:rPr>
            </w:pPr>
            <w:r w:rsidRPr="002A30D8">
              <w:rPr>
                <w:sz w:val="22"/>
                <w:szCs w:val="22"/>
              </w:rPr>
              <w:t>Placement type</w:t>
            </w:r>
          </w:p>
        </w:tc>
        <w:tc>
          <w:tcPr>
            <w:tcW w:w="1984" w:type="dxa"/>
            <w:shd w:val="clear" w:color="auto" w:fill="F2F2F2" w:themeFill="background1" w:themeFillShade="F2"/>
          </w:tcPr>
          <w:p w14:paraId="790971B4" w14:textId="0FD2E769" w:rsidR="00E24C3C" w:rsidRPr="002A30D8" w:rsidRDefault="00E24C3C" w:rsidP="00801430">
            <w:pPr>
              <w:ind w:firstLine="0"/>
              <w:rPr>
                <w:sz w:val="22"/>
                <w:szCs w:val="22"/>
              </w:rPr>
            </w:pPr>
            <w:r w:rsidRPr="002A30D8">
              <w:rPr>
                <w:sz w:val="22"/>
                <w:szCs w:val="22"/>
              </w:rPr>
              <w:t>2015-16 (£ million)</w:t>
            </w:r>
          </w:p>
        </w:tc>
        <w:tc>
          <w:tcPr>
            <w:tcW w:w="1985" w:type="dxa"/>
            <w:shd w:val="clear" w:color="auto" w:fill="F2F2F2" w:themeFill="background1" w:themeFillShade="F2"/>
          </w:tcPr>
          <w:p w14:paraId="7A5C0923" w14:textId="28E32164" w:rsidR="00E24C3C" w:rsidRPr="002A30D8" w:rsidRDefault="00E24C3C" w:rsidP="00801430">
            <w:pPr>
              <w:ind w:firstLine="0"/>
              <w:rPr>
                <w:sz w:val="22"/>
                <w:szCs w:val="22"/>
              </w:rPr>
            </w:pPr>
            <w:r w:rsidRPr="002A30D8">
              <w:rPr>
                <w:sz w:val="22"/>
                <w:szCs w:val="22"/>
              </w:rPr>
              <w:t>2020-21 (£ million)</w:t>
            </w:r>
          </w:p>
        </w:tc>
        <w:tc>
          <w:tcPr>
            <w:tcW w:w="1843" w:type="dxa"/>
            <w:shd w:val="clear" w:color="auto" w:fill="F2F2F2" w:themeFill="background1" w:themeFillShade="F2"/>
          </w:tcPr>
          <w:p w14:paraId="6137378F" w14:textId="48BD39B1" w:rsidR="00E24C3C" w:rsidRPr="002A30D8" w:rsidRDefault="00E24C3C" w:rsidP="00801430">
            <w:pPr>
              <w:ind w:firstLine="0"/>
              <w:rPr>
                <w:sz w:val="22"/>
                <w:szCs w:val="22"/>
              </w:rPr>
            </w:pPr>
            <w:r w:rsidRPr="002A30D8">
              <w:rPr>
                <w:sz w:val="22"/>
                <w:szCs w:val="22"/>
              </w:rPr>
              <w:t>Percentage change</w:t>
            </w:r>
          </w:p>
        </w:tc>
      </w:tr>
      <w:tr w:rsidR="00E24C3C" w:rsidRPr="002A30D8" w14:paraId="7437BA1C" w14:textId="114A2CC6" w:rsidTr="00E24C3C">
        <w:tc>
          <w:tcPr>
            <w:tcW w:w="3681" w:type="dxa"/>
            <w:shd w:val="clear" w:color="auto" w:fill="F2F2F2" w:themeFill="background1" w:themeFillShade="F2"/>
          </w:tcPr>
          <w:p w14:paraId="61B8E272" w14:textId="5483C3E8" w:rsidR="00E24C3C" w:rsidRPr="002A30D8" w:rsidRDefault="00E24C3C" w:rsidP="00801430">
            <w:pPr>
              <w:ind w:firstLine="0"/>
              <w:rPr>
                <w:b/>
                <w:bCs/>
                <w:sz w:val="22"/>
                <w:szCs w:val="22"/>
              </w:rPr>
            </w:pPr>
            <w:r w:rsidRPr="002A30D8">
              <w:rPr>
                <w:b/>
                <w:bCs/>
                <w:sz w:val="22"/>
                <w:szCs w:val="22"/>
              </w:rPr>
              <w:t>Residential (all)</w:t>
            </w:r>
          </w:p>
        </w:tc>
        <w:tc>
          <w:tcPr>
            <w:tcW w:w="1984" w:type="dxa"/>
          </w:tcPr>
          <w:p w14:paraId="0CD40D3A" w14:textId="3B2C724E" w:rsidR="00E24C3C" w:rsidRPr="002A30D8" w:rsidRDefault="00E24C3C" w:rsidP="00801430">
            <w:pPr>
              <w:ind w:firstLine="0"/>
              <w:rPr>
                <w:b/>
                <w:bCs/>
                <w:sz w:val="22"/>
                <w:szCs w:val="22"/>
              </w:rPr>
            </w:pPr>
            <w:r w:rsidRPr="002A30D8">
              <w:rPr>
                <w:b/>
                <w:bCs/>
                <w:sz w:val="22"/>
                <w:szCs w:val="22"/>
              </w:rPr>
              <w:t>1,103.2</w:t>
            </w:r>
          </w:p>
        </w:tc>
        <w:tc>
          <w:tcPr>
            <w:tcW w:w="1985" w:type="dxa"/>
            <w:shd w:val="clear" w:color="auto" w:fill="F2F2F2" w:themeFill="background1" w:themeFillShade="F2"/>
          </w:tcPr>
          <w:p w14:paraId="3E0C2D6E" w14:textId="3D379B27" w:rsidR="00E24C3C" w:rsidRPr="002A30D8" w:rsidRDefault="00E24C3C" w:rsidP="00801430">
            <w:pPr>
              <w:ind w:firstLine="0"/>
              <w:rPr>
                <w:b/>
                <w:bCs/>
                <w:sz w:val="22"/>
                <w:szCs w:val="22"/>
              </w:rPr>
            </w:pPr>
            <w:r w:rsidRPr="002A30D8">
              <w:rPr>
                <w:b/>
                <w:bCs/>
                <w:sz w:val="22"/>
                <w:szCs w:val="22"/>
              </w:rPr>
              <w:t>1,836.6</w:t>
            </w:r>
          </w:p>
        </w:tc>
        <w:tc>
          <w:tcPr>
            <w:tcW w:w="1843" w:type="dxa"/>
          </w:tcPr>
          <w:p w14:paraId="30047042" w14:textId="2C2B5B3A" w:rsidR="00E24C3C" w:rsidRPr="002A30D8" w:rsidRDefault="00E24C3C" w:rsidP="00801430">
            <w:pPr>
              <w:ind w:firstLine="0"/>
              <w:rPr>
                <w:b/>
                <w:bCs/>
                <w:sz w:val="22"/>
                <w:szCs w:val="22"/>
              </w:rPr>
            </w:pPr>
            <w:r w:rsidRPr="002A30D8">
              <w:rPr>
                <w:b/>
                <w:bCs/>
                <w:sz w:val="22"/>
                <w:szCs w:val="22"/>
              </w:rPr>
              <w:t>66.47</w:t>
            </w:r>
          </w:p>
        </w:tc>
      </w:tr>
      <w:tr w:rsidR="00E24C3C" w:rsidRPr="002A30D8" w14:paraId="3863F1AC" w14:textId="0AE6C655" w:rsidTr="00E24C3C">
        <w:tc>
          <w:tcPr>
            <w:tcW w:w="3681" w:type="dxa"/>
            <w:shd w:val="clear" w:color="auto" w:fill="F2F2F2" w:themeFill="background1" w:themeFillShade="F2"/>
          </w:tcPr>
          <w:p w14:paraId="18EBCC9E" w14:textId="4E527E43" w:rsidR="00E24C3C" w:rsidRPr="002A30D8" w:rsidRDefault="00E24C3C" w:rsidP="00801430">
            <w:pPr>
              <w:ind w:firstLine="0"/>
              <w:rPr>
                <w:sz w:val="22"/>
                <w:szCs w:val="22"/>
              </w:rPr>
            </w:pPr>
            <w:r w:rsidRPr="002A30D8">
              <w:rPr>
                <w:sz w:val="22"/>
                <w:szCs w:val="22"/>
              </w:rPr>
              <w:t>Residential (LA)</w:t>
            </w:r>
          </w:p>
        </w:tc>
        <w:tc>
          <w:tcPr>
            <w:tcW w:w="1984" w:type="dxa"/>
          </w:tcPr>
          <w:p w14:paraId="29159A66" w14:textId="3329EA36" w:rsidR="00E24C3C" w:rsidRPr="002A30D8" w:rsidRDefault="00E24C3C" w:rsidP="00801430">
            <w:pPr>
              <w:ind w:firstLine="0"/>
              <w:rPr>
                <w:sz w:val="22"/>
                <w:szCs w:val="22"/>
              </w:rPr>
            </w:pPr>
            <w:r w:rsidRPr="002A30D8">
              <w:rPr>
                <w:sz w:val="22"/>
                <w:szCs w:val="22"/>
              </w:rPr>
              <w:t>342.4</w:t>
            </w:r>
          </w:p>
        </w:tc>
        <w:tc>
          <w:tcPr>
            <w:tcW w:w="1985" w:type="dxa"/>
            <w:shd w:val="clear" w:color="auto" w:fill="F2F2F2" w:themeFill="background1" w:themeFillShade="F2"/>
          </w:tcPr>
          <w:p w14:paraId="3CD0FC18" w14:textId="1F1A1254" w:rsidR="00E24C3C" w:rsidRPr="002A30D8" w:rsidRDefault="00E24C3C" w:rsidP="00801430">
            <w:pPr>
              <w:ind w:firstLine="0"/>
              <w:rPr>
                <w:sz w:val="22"/>
                <w:szCs w:val="22"/>
              </w:rPr>
            </w:pPr>
            <w:r w:rsidRPr="002A30D8">
              <w:rPr>
                <w:sz w:val="22"/>
                <w:szCs w:val="22"/>
              </w:rPr>
              <w:t>406.7</w:t>
            </w:r>
          </w:p>
        </w:tc>
        <w:tc>
          <w:tcPr>
            <w:tcW w:w="1843" w:type="dxa"/>
          </w:tcPr>
          <w:p w14:paraId="16E4A55E" w14:textId="7C68C43C" w:rsidR="00E24C3C" w:rsidRPr="002A30D8" w:rsidRDefault="00E24C3C" w:rsidP="00801430">
            <w:pPr>
              <w:ind w:firstLine="0"/>
              <w:rPr>
                <w:sz w:val="22"/>
                <w:szCs w:val="22"/>
              </w:rPr>
            </w:pPr>
            <w:r w:rsidRPr="002A30D8">
              <w:rPr>
                <w:sz w:val="22"/>
                <w:szCs w:val="22"/>
              </w:rPr>
              <w:t>18.78</w:t>
            </w:r>
          </w:p>
        </w:tc>
      </w:tr>
      <w:tr w:rsidR="00E24C3C" w:rsidRPr="002A30D8" w14:paraId="72B4D6D8" w14:textId="23BF03B1" w:rsidTr="00E24C3C">
        <w:tc>
          <w:tcPr>
            <w:tcW w:w="3681" w:type="dxa"/>
            <w:shd w:val="clear" w:color="auto" w:fill="F2F2F2" w:themeFill="background1" w:themeFillShade="F2"/>
          </w:tcPr>
          <w:p w14:paraId="6D3B1BDD" w14:textId="19B283EF" w:rsidR="00E24C3C" w:rsidRPr="002A30D8" w:rsidRDefault="00E24C3C" w:rsidP="00801430">
            <w:pPr>
              <w:ind w:firstLine="0"/>
              <w:rPr>
                <w:sz w:val="22"/>
                <w:szCs w:val="22"/>
              </w:rPr>
            </w:pPr>
            <w:r w:rsidRPr="002A30D8">
              <w:rPr>
                <w:sz w:val="22"/>
                <w:szCs w:val="22"/>
              </w:rPr>
              <w:t>Residential (private)</w:t>
            </w:r>
          </w:p>
        </w:tc>
        <w:tc>
          <w:tcPr>
            <w:tcW w:w="1984" w:type="dxa"/>
          </w:tcPr>
          <w:p w14:paraId="0FA8D8F6" w14:textId="6A0AE538" w:rsidR="00E24C3C" w:rsidRPr="002A30D8" w:rsidRDefault="00E24C3C" w:rsidP="00801430">
            <w:pPr>
              <w:ind w:firstLine="0"/>
              <w:rPr>
                <w:sz w:val="22"/>
                <w:szCs w:val="22"/>
              </w:rPr>
            </w:pPr>
            <w:r w:rsidRPr="002A30D8">
              <w:rPr>
                <w:sz w:val="22"/>
                <w:szCs w:val="22"/>
              </w:rPr>
              <w:t>696.8</w:t>
            </w:r>
          </w:p>
        </w:tc>
        <w:tc>
          <w:tcPr>
            <w:tcW w:w="1985" w:type="dxa"/>
            <w:shd w:val="clear" w:color="auto" w:fill="F2F2F2" w:themeFill="background1" w:themeFillShade="F2"/>
          </w:tcPr>
          <w:p w14:paraId="5B980997" w14:textId="3EE59E79" w:rsidR="00E24C3C" w:rsidRPr="002A30D8" w:rsidRDefault="00E24C3C" w:rsidP="00801430">
            <w:pPr>
              <w:ind w:firstLine="0"/>
              <w:rPr>
                <w:sz w:val="22"/>
                <w:szCs w:val="22"/>
              </w:rPr>
            </w:pPr>
            <w:r w:rsidRPr="002A30D8">
              <w:rPr>
                <w:sz w:val="22"/>
                <w:szCs w:val="22"/>
              </w:rPr>
              <w:t>1,327.8</w:t>
            </w:r>
          </w:p>
        </w:tc>
        <w:tc>
          <w:tcPr>
            <w:tcW w:w="1843" w:type="dxa"/>
          </w:tcPr>
          <w:p w14:paraId="01D76C16" w14:textId="51D8537C" w:rsidR="00E24C3C" w:rsidRPr="002A30D8" w:rsidRDefault="00E24C3C" w:rsidP="00801430">
            <w:pPr>
              <w:ind w:firstLine="0"/>
              <w:rPr>
                <w:sz w:val="22"/>
                <w:szCs w:val="22"/>
              </w:rPr>
            </w:pPr>
            <w:r w:rsidRPr="002A30D8">
              <w:rPr>
                <w:sz w:val="22"/>
                <w:szCs w:val="22"/>
              </w:rPr>
              <w:t>90.56</w:t>
            </w:r>
          </w:p>
        </w:tc>
      </w:tr>
      <w:tr w:rsidR="00E24C3C" w:rsidRPr="002A30D8" w14:paraId="6CAFCC13" w14:textId="1AEA9197" w:rsidTr="00E24C3C">
        <w:tc>
          <w:tcPr>
            <w:tcW w:w="3681" w:type="dxa"/>
            <w:shd w:val="clear" w:color="auto" w:fill="F2F2F2" w:themeFill="background1" w:themeFillShade="F2"/>
          </w:tcPr>
          <w:p w14:paraId="1EA31960" w14:textId="6C04F16D" w:rsidR="00E24C3C" w:rsidRPr="002A30D8" w:rsidRDefault="00E24C3C" w:rsidP="00801430">
            <w:pPr>
              <w:ind w:firstLine="0"/>
              <w:rPr>
                <w:sz w:val="22"/>
                <w:szCs w:val="22"/>
              </w:rPr>
            </w:pPr>
            <w:r w:rsidRPr="002A30D8">
              <w:rPr>
                <w:sz w:val="22"/>
                <w:szCs w:val="22"/>
              </w:rPr>
              <w:t>Residential (voluntary)</w:t>
            </w:r>
          </w:p>
        </w:tc>
        <w:tc>
          <w:tcPr>
            <w:tcW w:w="1984" w:type="dxa"/>
          </w:tcPr>
          <w:p w14:paraId="721149EB" w14:textId="3F0879BF" w:rsidR="00E24C3C" w:rsidRPr="002A30D8" w:rsidRDefault="00E24C3C" w:rsidP="00801430">
            <w:pPr>
              <w:ind w:firstLine="0"/>
              <w:rPr>
                <w:sz w:val="22"/>
                <w:szCs w:val="22"/>
              </w:rPr>
            </w:pPr>
            <w:r w:rsidRPr="002A30D8">
              <w:rPr>
                <w:sz w:val="22"/>
                <w:szCs w:val="22"/>
              </w:rPr>
              <w:t>39.8</w:t>
            </w:r>
          </w:p>
        </w:tc>
        <w:tc>
          <w:tcPr>
            <w:tcW w:w="1985" w:type="dxa"/>
            <w:shd w:val="clear" w:color="auto" w:fill="F2F2F2" w:themeFill="background1" w:themeFillShade="F2"/>
          </w:tcPr>
          <w:p w14:paraId="1C4DB89B" w14:textId="67DBA1E9" w:rsidR="00E24C3C" w:rsidRPr="002A30D8" w:rsidRDefault="00E24C3C" w:rsidP="00801430">
            <w:pPr>
              <w:ind w:firstLine="0"/>
              <w:rPr>
                <w:sz w:val="22"/>
                <w:szCs w:val="22"/>
              </w:rPr>
            </w:pPr>
            <w:r w:rsidRPr="002A30D8">
              <w:rPr>
                <w:sz w:val="22"/>
                <w:szCs w:val="22"/>
              </w:rPr>
              <w:t>28.5</w:t>
            </w:r>
          </w:p>
        </w:tc>
        <w:tc>
          <w:tcPr>
            <w:tcW w:w="1843" w:type="dxa"/>
          </w:tcPr>
          <w:p w14:paraId="643F2885" w14:textId="5BE1DCCF" w:rsidR="00E24C3C" w:rsidRPr="002A30D8" w:rsidRDefault="00E24C3C" w:rsidP="00801430">
            <w:pPr>
              <w:ind w:firstLine="0"/>
              <w:rPr>
                <w:sz w:val="22"/>
                <w:szCs w:val="22"/>
              </w:rPr>
            </w:pPr>
            <w:r w:rsidRPr="002A30D8">
              <w:rPr>
                <w:sz w:val="22"/>
                <w:szCs w:val="22"/>
              </w:rPr>
              <w:t>-28.39</w:t>
            </w:r>
          </w:p>
        </w:tc>
      </w:tr>
      <w:tr w:rsidR="00E24C3C" w:rsidRPr="002A30D8" w14:paraId="135C2593" w14:textId="64CB106A" w:rsidTr="00E24C3C">
        <w:tc>
          <w:tcPr>
            <w:tcW w:w="3681" w:type="dxa"/>
            <w:shd w:val="clear" w:color="auto" w:fill="F2F2F2" w:themeFill="background1" w:themeFillShade="F2"/>
          </w:tcPr>
          <w:p w14:paraId="2F34F6D4" w14:textId="0AAD18D2" w:rsidR="00E24C3C" w:rsidRPr="002A30D8" w:rsidRDefault="00E24C3C" w:rsidP="00801430">
            <w:pPr>
              <w:ind w:firstLine="0"/>
              <w:rPr>
                <w:b/>
                <w:bCs/>
                <w:sz w:val="22"/>
                <w:szCs w:val="22"/>
              </w:rPr>
            </w:pPr>
            <w:r w:rsidRPr="002A30D8">
              <w:rPr>
                <w:b/>
                <w:bCs/>
                <w:sz w:val="22"/>
                <w:szCs w:val="22"/>
              </w:rPr>
              <w:t>Fostering (all)</w:t>
            </w:r>
          </w:p>
        </w:tc>
        <w:tc>
          <w:tcPr>
            <w:tcW w:w="1984" w:type="dxa"/>
          </w:tcPr>
          <w:p w14:paraId="1DEDFBA8" w14:textId="43337D83" w:rsidR="00E24C3C" w:rsidRPr="002A30D8" w:rsidRDefault="00E24C3C" w:rsidP="00801430">
            <w:pPr>
              <w:ind w:firstLine="0"/>
              <w:rPr>
                <w:b/>
                <w:bCs/>
                <w:sz w:val="22"/>
                <w:szCs w:val="22"/>
              </w:rPr>
            </w:pPr>
            <w:r w:rsidRPr="002A30D8">
              <w:rPr>
                <w:b/>
                <w:bCs/>
                <w:sz w:val="22"/>
                <w:szCs w:val="22"/>
              </w:rPr>
              <w:t>1,567.6</w:t>
            </w:r>
          </w:p>
        </w:tc>
        <w:tc>
          <w:tcPr>
            <w:tcW w:w="1985" w:type="dxa"/>
            <w:shd w:val="clear" w:color="auto" w:fill="F2F2F2" w:themeFill="background1" w:themeFillShade="F2"/>
          </w:tcPr>
          <w:p w14:paraId="4DDC314D" w14:textId="2B3840B8" w:rsidR="00E24C3C" w:rsidRPr="002A30D8" w:rsidRDefault="00E24C3C" w:rsidP="00801430">
            <w:pPr>
              <w:ind w:firstLine="0"/>
              <w:rPr>
                <w:b/>
                <w:bCs/>
                <w:sz w:val="22"/>
                <w:szCs w:val="22"/>
              </w:rPr>
            </w:pPr>
            <w:r w:rsidRPr="002A30D8">
              <w:rPr>
                <w:b/>
                <w:bCs/>
                <w:sz w:val="22"/>
                <w:szCs w:val="22"/>
              </w:rPr>
              <w:t>1,835.4</w:t>
            </w:r>
          </w:p>
        </w:tc>
        <w:tc>
          <w:tcPr>
            <w:tcW w:w="1843" w:type="dxa"/>
          </w:tcPr>
          <w:p w14:paraId="0467B286" w14:textId="6C16C7A9" w:rsidR="00E24C3C" w:rsidRPr="002A30D8" w:rsidRDefault="00E24C3C" w:rsidP="00801430">
            <w:pPr>
              <w:ind w:firstLine="0"/>
              <w:rPr>
                <w:b/>
                <w:bCs/>
                <w:sz w:val="22"/>
                <w:szCs w:val="22"/>
              </w:rPr>
            </w:pPr>
            <w:r w:rsidRPr="002A30D8">
              <w:rPr>
                <w:b/>
                <w:bCs/>
                <w:sz w:val="22"/>
                <w:szCs w:val="22"/>
              </w:rPr>
              <w:t>17.08</w:t>
            </w:r>
          </w:p>
        </w:tc>
      </w:tr>
      <w:tr w:rsidR="00E24C3C" w:rsidRPr="002A30D8" w14:paraId="25FDA750" w14:textId="76693BC5" w:rsidTr="00E24C3C">
        <w:tc>
          <w:tcPr>
            <w:tcW w:w="3681" w:type="dxa"/>
            <w:shd w:val="clear" w:color="auto" w:fill="F2F2F2" w:themeFill="background1" w:themeFillShade="F2"/>
          </w:tcPr>
          <w:p w14:paraId="511A40A2" w14:textId="64364E4E" w:rsidR="00E24C3C" w:rsidRPr="002A30D8" w:rsidRDefault="00E24C3C" w:rsidP="00801430">
            <w:pPr>
              <w:ind w:firstLine="0"/>
              <w:rPr>
                <w:sz w:val="22"/>
                <w:szCs w:val="22"/>
              </w:rPr>
            </w:pPr>
            <w:r w:rsidRPr="002A30D8">
              <w:rPr>
                <w:sz w:val="22"/>
                <w:szCs w:val="22"/>
              </w:rPr>
              <w:t>Fostering (LA)</w:t>
            </w:r>
          </w:p>
        </w:tc>
        <w:tc>
          <w:tcPr>
            <w:tcW w:w="1984" w:type="dxa"/>
          </w:tcPr>
          <w:p w14:paraId="772E6495" w14:textId="2962DE5D" w:rsidR="00E24C3C" w:rsidRPr="002A30D8" w:rsidRDefault="00E24C3C" w:rsidP="00801430">
            <w:pPr>
              <w:ind w:firstLine="0"/>
              <w:rPr>
                <w:sz w:val="22"/>
                <w:szCs w:val="22"/>
              </w:rPr>
            </w:pPr>
            <w:r w:rsidRPr="002A30D8">
              <w:rPr>
                <w:sz w:val="22"/>
                <w:szCs w:val="22"/>
              </w:rPr>
              <w:t>845.5</w:t>
            </w:r>
          </w:p>
        </w:tc>
        <w:tc>
          <w:tcPr>
            <w:tcW w:w="1985" w:type="dxa"/>
            <w:shd w:val="clear" w:color="auto" w:fill="F2F2F2" w:themeFill="background1" w:themeFillShade="F2"/>
          </w:tcPr>
          <w:p w14:paraId="49D5B13F" w14:textId="4BDEA057" w:rsidR="00E24C3C" w:rsidRPr="002A30D8" w:rsidRDefault="00E24C3C" w:rsidP="00801430">
            <w:pPr>
              <w:ind w:firstLine="0"/>
              <w:rPr>
                <w:sz w:val="22"/>
                <w:szCs w:val="22"/>
              </w:rPr>
            </w:pPr>
            <w:r w:rsidRPr="002A30D8">
              <w:rPr>
                <w:sz w:val="22"/>
                <w:szCs w:val="22"/>
              </w:rPr>
              <w:t>871.7</w:t>
            </w:r>
          </w:p>
        </w:tc>
        <w:tc>
          <w:tcPr>
            <w:tcW w:w="1843" w:type="dxa"/>
          </w:tcPr>
          <w:p w14:paraId="34367328" w14:textId="2243A467" w:rsidR="00E24C3C" w:rsidRPr="002A30D8" w:rsidRDefault="00E24C3C" w:rsidP="00801430">
            <w:pPr>
              <w:ind w:firstLine="0"/>
              <w:rPr>
                <w:sz w:val="22"/>
                <w:szCs w:val="22"/>
              </w:rPr>
            </w:pPr>
            <w:r w:rsidRPr="002A30D8">
              <w:rPr>
                <w:sz w:val="22"/>
                <w:szCs w:val="22"/>
              </w:rPr>
              <w:t>3.1</w:t>
            </w:r>
          </w:p>
        </w:tc>
      </w:tr>
      <w:tr w:rsidR="00E24C3C" w:rsidRPr="002A30D8" w14:paraId="0F3028CD" w14:textId="5BB5D54D" w:rsidTr="00E24C3C">
        <w:tc>
          <w:tcPr>
            <w:tcW w:w="3681" w:type="dxa"/>
            <w:shd w:val="clear" w:color="auto" w:fill="F2F2F2" w:themeFill="background1" w:themeFillShade="F2"/>
          </w:tcPr>
          <w:p w14:paraId="5BB3B64B" w14:textId="39B4E2DC" w:rsidR="00E24C3C" w:rsidRPr="002A30D8" w:rsidRDefault="00E24C3C" w:rsidP="00801430">
            <w:pPr>
              <w:ind w:firstLine="0"/>
              <w:rPr>
                <w:sz w:val="22"/>
                <w:szCs w:val="22"/>
              </w:rPr>
            </w:pPr>
            <w:r w:rsidRPr="002A30D8">
              <w:rPr>
                <w:sz w:val="22"/>
                <w:szCs w:val="22"/>
              </w:rPr>
              <w:t>Fostering (private)</w:t>
            </w:r>
          </w:p>
        </w:tc>
        <w:tc>
          <w:tcPr>
            <w:tcW w:w="1984" w:type="dxa"/>
          </w:tcPr>
          <w:p w14:paraId="18654725" w14:textId="50F94C1C" w:rsidR="00E24C3C" w:rsidRPr="002A30D8" w:rsidRDefault="00E24C3C" w:rsidP="00801430">
            <w:pPr>
              <w:ind w:firstLine="0"/>
              <w:rPr>
                <w:sz w:val="22"/>
                <w:szCs w:val="22"/>
              </w:rPr>
            </w:pPr>
            <w:r w:rsidRPr="002A30D8">
              <w:rPr>
                <w:sz w:val="22"/>
                <w:szCs w:val="22"/>
              </w:rPr>
              <w:t>649.6</w:t>
            </w:r>
          </w:p>
        </w:tc>
        <w:tc>
          <w:tcPr>
            <w:tcW w:w="1985" w:type="dxa"/>
            <w:shd w:val="clear" w:color="auto" w:fill="F2F2F2" w:themeFill="background1" w:themeFillShade="F2"/>
          </w:tcPr>
          <w:p w14:paraId="00671F80" w14:textId="433C6E70" w:rsidR="00E24C3C" w:rsidRPr="002A30D8" w:rsidRDefault="00E24C3C" w:rsidP="00801430">
            <w:pPr>
              <w:ind w:firstLine="0"/>
              <w:rPr>
                <w:sz w:val="22"/>
                <w:szCs w:val="22"/>
              </w:rPr>
            </w:pPr>
            <w:r w:rsidRPr="002A30D8">
              <w:rPr>
                <w:sz w:val="22"/>
                <w:szCs w:val="22"/>
              </w:rPr>
              <w:t>862.7</w:t>
            </w:r>
          </w:p>
        </w:tc>
        <w:tc>
          <w:tcPr>
            <w:tcW w:w="1843" w:type="dxa"/>
          </w:tcPr>
          <w:p w14:paraId="4BA770D8" w14:textId="14BC0717" w:rsidR="00E24C3C" w:rsidRPr="002A30D8" w:rsidRDefault="00E24C3C" w:rsidP="00801430">
            <w:pPr>
              <w:ind w:firstLine="0"/>
              <w:rPr>
                <w:sz w:val="22"/>
                <w:szCs w:val="22"/>
              </w:rPr>
            </w:pPr>
            <w:r w:rsidRPr="002A30D8">
              <w:rPr>
                <w:sz w:val="22"/>
                <w:szCs w:val="22"/>
              </w:rPr>
              <w:t>32.8</w:t>
            </w:r>
          </w:p>
        </w:tc>
      </w:tr>
      <w:tr w:rsidR="00E24C3C" w:rsidRPr="002A30D8" w14:paraId="5358004D" w14:textId="0F9312E0" w:rsidTr="00E24C3C">
        <w:tc>
          <w:tcPr>
            <w:tcW w:w="3681" w:type="dxa"/>
            <w:shd w:val="clear" w:color="auto" w:fill="F2F2F2" w:themeFill="background1" w:themeFillShade="F2"/>
          </w:tcPr>
          <w:p w14:paraId="0F087158" w14:textId="66D8D7C8" w:rsidR="00E24C3C" w:rsidRPr="002A30D8" w:rsidRDefault="00E24C3C" w:rsidP="00801430">
            <w:pPr>
              <w:ind w:firstLine="0"/>
              <w:rPr>
                <w:sz w:val="22"/>
                <w:szCs w:val="22"/>
              </w:rPr>
            </w:pPr>
            <w:r w:rsidRPr="002A30D8">
              <w:rPr>
                <w:sz w:val="22"/>
                <w:szCs w:val="22"/>
              </w:rPr>
              <w:t>Fostering (voluntary)</w:t>
            </w:r>
          </w:p>
        </w:tc>
        <w:tc>
          <w:tcPr>
            <w:tcW w:w="1984" w:type="dxa"/>
          </w:tcPr>
          <w:p w14:paraId="51F1092C" w14:textId="06E99C1A" w:rsidR="00E24C3C" w:rsidRPr="002A30D8" w:rsidRDefault="00E24C3C" w:rsidP="00801430">
            <w:pPr>
              <w:ind w:firstLine="0"/>
              <w:rPr>
                <w:sz w:val="22"/>
                <w:szCs w:val="22"/>
              </w:rPr>
            </w:pPr>
            <w:r w:rsidRPr="002A30D8">
              <w:rPr>
                <w:sz w:val="22"/>
                <w:szCs w:val="22"/>
              </w:rPr>
              <w:t>51.4</w:t>
            </w:r>
          </w:p>
        </w:tc>
        <w:tc>
          <w:tcPr>
            <w:tcW w:w="1985" w:type="dxa"/>
            <w:shd w:val="clear" w:color="auto" w:fill="F2F2F2" w:themeFill="background1" w:themeFillShade="F2"/>
          </w:tcPr>
          <w:p w14:paraId="26F9AC69" w14:textId="1BAFA582" w:rsidR="00E24C3C" w:rsidRPr="002A30D8" w:rsidRDefault="00E24C3C" w:rsidP="00801430">
            <w:pPr>
              <w:ind w:firstLine="0"/>
              <w:rPr>
                <w:sz w:val="22"/>
                <w:szCs w:val="22"/>
              </w:rPr>
            </w:pPr>
            <w:r w:rsidRPr="002A30D8">
              <w:rPr>
                <w:sz w:val="22"/>
                <w:szCs w:val="22"/>
              </w:rPr>
              <w:t>42.5</w:t>
            </w:r>
          </w:p>
        </w:tc>
        <w:tc>
          <w:tcPr>
            <w:tcW w:w="1843" w:type="dxa"/>
          </w:tcPr>
          <w:p w14:paraId="7BA29E10" w14:textId="111278E7" w:rsidR="00E24C3C" w:rsidRPr="002A30D8" w:rsidRDefault="00E24C3C" w:rsidP="00801430">
            <w:pPr>
              <w:ind w:firstLine="0"/>
              <w:rPr>
                <w:sz w:val="22"/>
                <w:szCs w:val="22"/>
              </w:rPr>
            </w:pPr>
            <w:r w:rsidRPr="002A30D8">
              <w:rPr>
                <w:sz w:val="22"/>
                <w:szCs w:val="22"/>
              </w:rPr>
              <w:t>-17.32</w:t>
            </w:r>
          </w:p>
        </w:tc>
      </w:tr>
    </w:tbl>
    <w:p w14:paraId="63203FDF" w14:textId="77777777" w:rsidR="007E0DE0" w:rsidRPr="002A30D8" w:rsidRDefault="007E0DE0" w:rsidP="007E0DE0">
      <w:pPr>
        <w:pStyle w:val="ListParagraph"/>
        <w:ind w:left="266" w:firstLine="0"/>
        <w:rPr>
          <w:sz w:val="22"/>
          <w:szCs w:val="22"/>
        </w:rPr>
      </w:pPr>
    </w:p>
    <w:p w14:paraId="3D4C8A83" w14:textId="37589A22" w:rsidR="007E0DE0" w:rsidRPr="002A30D8" w:rsidRDefault="002C2208" w:rsidP="007E0DE0">
      <w:pPr>
        <w:pStyle w:val="ListParagraph"/>
        <w:numPr>
          <w:ilvl w:val="0"/>
          <w:numId w:val="20"/>
        </w:numPr>
        <w:rPr>
          <w:sz w:val="22"/>
          <w:szCs w:val="22"/>
        </w:rPr>
      </w:pPr>
      <w:r w:rsidRPr="002A30D8">
        <w:rPr>
          <w:sz w:val="22"/>
          <w:szCs w:val="22"/>
        </w:rPr>
        <w:t>The Competition and Markets Authority review into the placements “market” found that:</w:t>
      </w:r>
    </w:p>
    <w:p w14:paraId="5D1DED68" w14:textId="2DE3E333" w:rsidR="002C2208" w:rsidRPr="002A30D8" w:rsidRDefault="0003215D" w:rsidP="002C2208">
      <w:pPr>
        <w:pStyle w:val="ListParagraph"/>
        <w:numPr>
          <w:ilvl w:val="1"/>
          <w:numId w:val="20"/>
        </w:numPr>
        <w:rPr>
          <w:sz w:val="22"/>
          <w:szCs w:val="22"/>
        </w:rPr>
      </w:pPr>
      <w:r w:rsidRPr="002A30D8">
        <w:rPr>
          <w:sz w:val="22"/>
          <w:szCs w:val="22"/>
        </w:rPr>
        <w:t>For the largest providers, c</w:t>
      </w:r>
      <w:r w:rsidR="00BF26D2" w:rsidRPr="002A30D8">
        <w:rPr>
          <w:sz w:val="22"/>
          <w:szCs w:val="22"/>
        </w:rPr>
        <w:t xml:space="preserve">hildren’s homes </w:t>
      </w:r>
      <w:r w:rsidR="00D64D04" w:rsidRPr="002A30D8">
        <w:rPr>
          <w:sz w:val="22"/>
          <w:szCs w:val="22"/>
        </w:rPr>
        <w:t>operating costs had increased between 2016 and 2020 broadly in line with increasing prices. Operating margins had remained broadly</w:t>
      </w:r>
      <w:r w:rsidRPr="002A30D8">
        <w:rPr>
          <w:sz w:val="22"/>
          <w:szCs w:val="22"/>
        </w:rPr>
        <w:t xml:space="preserve"> </w:t>
      </w:r>
      <w:r w:rsidRPr="002A30D8">
        <w:rPr>
          <w:sz w:val="22"/>
          <w:szCs w:val="22"/>
        </w:rPr>
        <w:lastRenderedPageBreak/>
        <w:t>flat at an average of 22.6 per cent, with average operating profit increasing from £702 per week to £910 per week over the period.</w:t>
      </w:r>
    </w:p>
    <w:p w14:paraId="1A8FF2E5" w14:textId="150CE54F" w:rsidR="0003215D" w:rsidRPr="002A30D8" w:rsidRDefault="00D56D47" w:rsidP="002C2208">
      <w:pPr>
        <w:pStyle w:val="ListParagraph"/>
        <w:numPr>
          <w:ilvl w:val="1"/>
          <w:numId w:val="20"/>
        </w:numPr>
        <w:rPr>
          <w:sz w:val="22"/>
          <w:szCs w:val="22"/>
        </w:rPr>
      </w:pPr>
      <w:r w:rsidRPr="002A30D8">
        <w:rPr>
          <w:sz w:val="22"/>
          <w:szCs w:val="22"/>
        </w:rPr>
        <w:t xml:space="preserve">For the largest fostering agencies, operating costs, </w:t>
      </w:r>
      <w:proofErr w:type="gramStart"/>
      <w:r w:rsidRPr="002A30D8">
        <w:rPr>
          <w:sz w:val="22"/>
          <w:szCs w:val="22"/>
        </w:rPr>
        <w:t>prices</w:t>
      </w:r>
      <w:proofErr w:type="gramEnd"/>
      <w:r w:rsidRPr="002A30D8">
        <w:rPr>
          <w:sz w:val="22"/>
          <w:szCs w:val="22"/>
        </w:rPr>
        <w:t xml:space="preserve"> and profits had remained broadly flat over the period.</w:t>
      </w:r>
    </w:p>
    <w:p w14:paraId="2AC5BCC0" w14:textId="5394F6EA" w:rsidR="00D56D47" w:rsidRPr="002A30D8" w:rsidRDefault="00D56D47" w:rsidP="002C2208">
      <w:pPr>
        <w:pStyle w:val="ListParagraph"/>
        <w:numPr>
          <w:ilvl w:val="1"/>
          <w:numId w:val="20"/>
        </w:numPr>
        <w:rPr>
          <w:sz w:val="22"/>
          <w:szCs w:val="22"/>
        </w:rPr>
      </w:pPr>
      <w:r w:rsidRPr="002A30D8">
        <w:rPr>
          <w:sz w:val="22"/>
          <w:szCs w:val="22"/>
        </w:rPr>
        <w:t xml:space="preserve">For unregulated accommodation, prices remained broadly flat from 2018 but operating costs increased, resulting in a </w:t>
      </w:r>
      <w:r w:rsidR="00296F3D" w:rsidRPr="002A30D8">
        <w:rPr>
          <w:sz w:val="22"/>
          <w:szCs w:val="22"/>
        </w:rPr>
        <w:t>reduced profit margin with the average profit decreasing from £381 per week in 2018 to £330 in 2020.</w:t>
      </w:r>
    </w:p>
    <w:p w14:paraId="14D1525E" w14:textId="65CDBB1E" w:rsidR="000C3CB9" w:rsidRPr="002A30D8" w:rsidRDefault="00331ACF" w:rsidP="002C2208">
      <w:pPr>
        <w:pStyle w:val="ListParagraph"/>
        <w:numPr>
          <w:ilvl w:val="1"/>
          <w:numId w:val="20"/>
        </w:numPr>
        <w:rPr>
          <w:sz w:val="22"/>
          <w:szCs w:val="22"/>
        </w:rPr>
      </w:pPr>
      <w:r w:rsidRPr="002A30D8">
        <w:rPr>
          <w:sz w:val="22"/>
          <w:szCs w:val="22"/>
        </w:rPr>
        <w:t>Even allowing for profits the average amount paid by a council for a place in a private children’s homes is not higher than paying for an in-house</w:t>
      </w:r>
      <w:r w:rsidR="00B04A01" w:rsidRPr="002A30D8">
        <w:rPr>
          <w:sz w:val="22"/>
          <w:szCs w:val="22"/>
        </w:rPr>
        <w:t xml:space="preserve"> </w:t>
      </w:r>
      <w:r w:rsidRPr="002A30D8">
        <w:rPr>
          <w:sz w:val="22"/>
          <w:szCs w:val="22"/>
        </w:rPr>
        <w:t>place. The primary cause of this was higher staffing ratios and costs in local authority provision.</w:t>
      </w:r>
    </w:p>
    <w:p w14:paraId="7FBAF2D0" w14:textId="77777777" w:rsidR="00D162BB" w:rsidRPr="002A30D8" w:rsidRDefault="00B04A01" w:rsidP="00D162BB">
      <w:pPr>
        <w:pStyle w:val="ListParagraph"/>
        <w:numPr>
          <w:ilvl w:val="1"/>
          <w:numId w:val="20"/>
        </w:numPr>
        <w:rPr>
          <w:sz w:val="22"/>
          <w:szCs w:val="22"/>
        </w:rPr>
      </w:pPr>
      <w:r w:rsidRPr="002A30D8">
        <w:rPr>
          <w:sz w:val="22"/>
          <w:szCs w:val="22"/>
        </w:rPr>
        <w:t>In-house foster carers were found to be cheaper than independent fostering agency placements.</w:t>
      </w:r>
    </w:p>
    <w:p w14:paraId="2FA26AFB" w14:textId="247F368C" w:rsidR="00D162BB" w:rsidRPr="002A30D8" w:rsidRDefault="00D162BB" w:rsidP="00D162BB">
      <w:pPr>
        <w:pStyle w:val="ListParagraph"/>
        <w:numPr>
          <w:ilvl w:val="0"/>
          <w:numId w:val="20"/>
        </w:numPr>
        <w:rPr>
          <w:sz w:val="22"/>
          <w:szCs w:val="22"/>
        </w:rPr>
      </w:pPr>
      <w:r w:rsidRPr="002A30D8">
        <w:rPr>
          <w:sz w:val="22"/>
          <w:szCs w:val="22"/>
        </w:rPr>
        <w:t>The CMA concluded that “the largest private providers of placements are making materially higher profits, and charging materially higher prices, than we would expect if this market were functioning effectively.” [More information on the CMA review is included in the “</w:t>
      </w:r>
      <w:r w:rsidR="00163183" w:rsidRPr="002A30D8">
        <w:rPr>
          <w:sz w:val="22"/>
          <w:szCs w:val="22"/>
        </w:rPr>
        <w:t>policy framework” paper]</w:t>
      </w:r>
    </w:p>
    <w:p w14:paraId="4AC287DF" w14:textId="06037543" w:rsidR="00121A9F" w:rsidRPr="002A30D8" w:rsidRDefault="008B037E" w:rsidP="00D162BB">
      <w:pPr>
        <w:pStyle w:val="ListParagraph"/>
        <w:numPr>
          <w:ilvl w:val="0"/>
          <w:numId w:val="20"/>
        </w:numPr>
        <w:rPr>
          <w:sz w:val="22"/>
          <w:szCs w:val="22"/>
        </w:rPr>
      </w:pPr>
      <w:hyperlink r:id="rId30" w:history="1">
        <w:r w:rsidR="00121A9F" w:rsidRPr="002A30D8">
          <w:rPr>
            <w:rStyle w:val="Hyperlink"/>
            <w:sz w:val="22"/>
            <w:szCs w:val="22"/>
          </w:rPr>
          <w:t>Research for the LGA</w:t>
        </w:r>
      </w:hyperlink>
      <w:r w:rsidR="00121A9F" w:rsidRPr="002A30D8">
        <w:rPr>
          <w:sz w:val="22"/>
          <w:szCs w:val="22"/>
        </w:rPr>
        <w:t xml:space="preserve"> published in March 2022 found that </w:t>
      </w:r>
      <w:r w:rsidR="00210A83" w:rsidRPr="002A30D8">
        <w:rPr>
          <w:sz w:val="22"/>
          <w:szCs w:val="22"/>
        </w:rPr>
        <w:t>for the 20 largest providers of children’s social care placements:</w:t>
      </w:r>
    </w:p>
    <w:p w14:paraId="46A4FF7E" w14:textId="7CD00BA9" w:rsidR="00210A83" w:rsidRPr="002A30D8" w:rsidRDefault="002A32BD" w:rsidP="00210A83">
      <w:pPr>
        <w:pStyle w:val="ListParagraph"/>
        <w:numPr>
          <w:ilvl w:val="1"/>
          <w:numId w:val="20"/>
        </w:numPr>
        <w:rPr>
          <w:sz w:val="22"/>
          <w:szCs w:val="22"/>
        </w:rPr>
      </w:pPr>
      <w:r w:rsidRPr="002A30D8">
        <w:rPr>
          <w:sz w:val="22"/>
          <w:szCs w:val="22"/>
        </w:rPr>
        <w:t>There was a total profit of £333 million over one year, representing a profit margin of 19.8 per cent</w:t>
      </w:r>
      <w:r w:rsidR="00F30281" w:rsidRPr="002A30D8">
        <w:rPr>
          <w:sz w:val="22"/>
          <w:szCs w:val="22"/>
        </w:rPr>
        <w:t>. Profits had increased by 14.2 per cent on the previous year.</w:t>
      </w:r>
    </w:p>
    <w:p w14:paraId="2462800D" w14:textId="7EF1550D" w:rsidR="00D928AD" w:rsidRPr="002A30D8" w:rsidRDefault="00D928AD" w:rsidP="00210A83">
      <w:pPr>
        <w:pStyle w:val="ListParagraph"/>
        <w:numPr>
          <w:ilvl w:val="1"/>
          <w:numId w:val="20"/>
        </w:numPr>
        <w:rPr>
          <w:sz w:val="22"/>
          <w:szCs w:val="22"/>
        </w:rPr>
      </w:pPr>
      <w:r w:rsidRPr="002A30D8">
        <w:rPr>
          <w:sz w:val="22"/>
          <w:szCs w:val="22"/>
        </w:rPr>
        <w:t>The highest profit margins tended to be in the largest provider groups</w:t>
      </w:r>
    </w:p>
    <w:p w14:paraId="0D39B1D5" w14:textId="187EA47B" w:rsidR="00964A91" w:rsidRPr="00E77C98" w:rsidRDefault="005B63D5" w:rsidP="00877471">
      <w:pPr>
        <w:pStyle w:val="Heading3"/>
        <w:ind w:hanging="284"/>
      </w:pPr>
      <w:bookmarkStart w:id="5" w:name="_Toc121229688"/>
      <w:r w:rsidRPr="00E77C98">
        <w:t>Quality</w:t>
      </w:r>
      <w:bookmarkEnd w:id="5"/>
    </w:p>
    <w:p w14:paraId="2F262A4E" w14:textId="4EA37113" w:rsidR="005B63D5" w:rsidRPr="002A30D8" w:rsidRDefault="008B037E" w:rsidP="0058391B">
      <w:pPr>
        <w:pStyle w:val="ListParagraph"/>
        <w:numPr>
          <w:ilvl w:val="0"/>
          <w:numId w:val="20"/>
        </w:numPr>
        <w:rPr>
          <w:sz w:val="22"/>
          <w:szCs w:val="22"/>
        </w:rPr>
      </w:pPr>
      <w:r w:rsidRPr="002A30D8">
        <w:rPr>
          <w:noProof/>
          <w:sz w:val="22"/>
          <w:szCs w:val="22"/>
        </w:rPr>
        <w:drawing>
          <wp:anchor distT="0" distB="0" distL="114300" distR="114300" simplePos="0" relativeHeight="251659265" behindDoc="0" locked="0" layoutInCell="1" allowOverlap="1" wp14:anchorId="34FE54DB" wp14:editId="5E1D6AD3">
            <wp:simplePos x="0" y="0"/>
            <wp:positionH relativeFrom="column">
              <wp:posOffset>289560</wp:posOffset>
            </wp:positionH>
            <wp:positionV relativeFrom="paragraph">
              <wp:posOffset>285115</wp:posOffset>
            </wp:positionV>
            <wp:extent cx="5353050" cy="3568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53050" cy="35687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2" w:anchor="childrens-homes-of-all-types-1" w:history="1">
        <w:r w:rsidR="002173E9" w:rsidRPr="002A30D8">
          <w:rPr>
            <w:rStyle w:val="Hyperlink"/>
            <w:sz w:val="22"/>
            <w:szCs w:val="22"/>
          </w:rPr>
          <w:t>Ofsted reports</w:t>
        </w:r>
      </w:hyperlink>
      <w:r w:rsidR="002173E9" w:rsidRPr="002A30D8">
        <w:rPr>
          <w:sz w:val="22"/>
          <w:szCs w:val="22"/>
        </w:rPr>
        <w:t xml:space="preserve"> </w:t>
      </w:r>
      <w:r w:rsidR="00E16222" w:rsidRPr="002A30D8">
        <w:rPr>
          <w:sz w:val="22"/>
          <w:szCs w:val="22"/>
        </w:rPr>
        <w:t>similar inspection results across children’s homes provision by different sectors:</w:t>
      </w:r>
    </w:p>
    <w:p w14:paraId="62755E87" w14:textId="5DF65839" w:rsidR="00D46968" w:rsidRPr="002A30D8" w:rsidRDefault="00D46968" w:rsidP="00D46968">
      <w:pPr>
        <w:ind w:left="-94" w:firstLine="0"/>
        <w:rPr>
          <w:sz w:val="22"/>
          <w:szCs w:val="22"/>
        </w:rPr>
      </w:pPr>
    </w:p>
    <w:p w14:paraId="7A5FD0A3" w14:textId="6BF08A37" w:rsidR="00D46968" w:rsidRPr="002A30D8" w:rsidRDefault="00D46968" w:rsidP="0058391B">
      <w:pPr>
        <w:pStyle w:val="ListParagraph"/>
        <w:numPr>
          <w:ilvl w:val="0"/>
          <w:numId w:val="20"/>
        </w:numPr>
        <w:rPr>
          <w:sz w:val="22"/>
          <w:szCs w:val="22"/>
        </w:rPr>
      </w:pPr>
      <w:r w:rsidRPr="002A30D8">
        <w:rPr>
          <w:sz w:val="22"/>
          <w:szCs w:val="22"/>
        </w:rPr>
        <w:lastRenderedPageBreak/>
        <w:t>However</w:t>
      </w:r>
      <w:r w:rsidR="008C7975" w:rsidRPr="002A30D8">
        <w:rPr>
          <w:sz w:val="22"/>
          <w:szCs w:val="22"/>
        </w:rPr>
        <w:t xml:space="preserve">, a </w:t>
      </w:r>
      <w:hyperlink r:id="rId33" w:history="1">
        <w:r w:rsidR="008C7975" w:rsidRPr="002A30D8">
          <w:rPr>
            <w:rStyle w:val="Hyperlink"/>
            <w:sz w:val="22"/>
            <w:szCs w:val="22"/>
          </w:rPr>
          <w:t>longitudinal analysis</w:t>
        </w:r>
      </w:hyperlink>
      <w:r w:rsidR="008C7975" w:rsidRPr="002A30D8">
        <w:rPr>
          <w:sz w:val="22"/>
          <w:szCs w:val="22"/>
        </w:rPr>
        <w:t xml:space="preserve"> of inspection outcomes for children’s homes </w:t>
      </w:r>
      <w:r w:rsidR="00EF6B1C" w:rsidRPr="002A30D8">
        <w:rPr>
          <w:sz w:val="22"/>
          <w:szCs w:val="22"/>
        </w:rPr>
        <w:t>by Oxford University found that:</w:t>
      </w:r>
    </w:p>
    <w:p w14:paraId="184CE0C9" w14:textId="77777777" w:rsidR="00514166" w:rsidRPr="002A30D8" w:rsidRDefault="00514166" w:rsidP="00EF6B1C">
      <w:pPr>
        <w:pStyle w:val="ListParagraph"/>
        <w:numPr>
          <w:ilvl w:val="1"/>
          <w:numId w:val="20"/>
        </w:numPr>
        <w:rPr>
          <w:sz w:val="22"/>
          <w:szCs w:val="22"/>
        </w:rPr>
      </w:pPr>
      <w:r w:rsidRPr="002A30D8">
        <w:rPr>
          <w:sz w:val="22"/>
          <w:szCs w:val="22"/>
        </w:rPr>
        <w:t xml:space="preserve">for-profit providers are statistically significantly more likely to be rated of lower quality than both public and third sector services. </w:t>
      </w:r>
    </w:p>
    <w:p w14:paraId="13F4FA31" w14:textId="585834F7" w:rsidR="00EF6B1C" w:rsidRPr="002A30D8" w:rsidRDefault="00514166" w:rsidP="00EF6B1C">
      <w:pPr>
        <w:pStyle w:val="ListParagraph"/>
        <w:numPr>
          <w:ilvl w:val="1"/>
          <w:numId w:val="20"/>
        </w:numPr>
        <w:rPr>
          <w:sz w:val="22"/>
          <w:szCs w:val="22"/>
        </w:rPr>
      </w:pPr>
      <w:r w:rsidRPr="002A30D8">
        <w:rPr>
          <w:sz w:val="22"/>
          <w:szCs w:val="22"/>
        </w:rPr>
        <w:t>For-profit children's homes violate a greater number of requirements and receive more recommendations compared to other ownership types.</w:t>
      </w:r>
    </w:p>
    <w:p w14:paraId="0D5EBC40" w14:textId="2A10FBC4" w:rsidR="008A1E59" w:rsidRPr="002A30D8" w:rsidRDefault="008A1E59" w:rsidP="004A5AED">
      <w:pPr>
        <w:rPr>
          <w:sz w:val="22"/>
          <w:szCs w:val="22"/>
        </w:rPr>
      </w:pPr>
    </w:p>
    <w:sectPr w:rsidR="008A1E59" w:rsidRPr="002A30D8" w:rsidSect="00376FD5">
      <w:headerReference w:type="default" r:id="rId34"/>
      <w:footerReference w:type="even" r:id="rId35"/>
      <w:headerReference w:type="first" r:id="rId36"/>
      <w:pgSz w:w="11900" w:h="16840"/>
      <w:pgMar w:top="142" w:right="1127" w:bottom="1440" w:left="1134"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673ED" w14:textId="77777777" w:rsidR="00323207" w:rsidRDefault="00323207" w:rsidP="00AD62B2">
      <w:r>
        <w:separator/>
      </w:r>
    </w:p>
  </w:endnote>
  <w:endnote w:type="continuationSeparator" w:id="0">
    <w:p w14:paraId="47D7AB33" w14:textId="77777777" w:rsidR="00323207" w:rsidRDefault="00323207" w:rsidP="00AD62B2">
      <w:r>
        <w:continuationSeparator/>
      </w:r>
    </w:p>
  </w:endnote>
  <w:endnote w:type="continuationNotice" w:id="1">
    <w:p w14:paraId="3153C227" w14:textId="77777777" w:rsidR="00323207" w:rsidRDefault="003232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99E" w14:textId="77777777" w:rsidR="008B5701" w:rsidRDefault="008B5701" w:rsidP="00AD62B2">
    <w:pPr>
      <w:rPr>
        <w:lang w:val="en-US"/>
      </w:rPr>
    </w:pPr>
  </w:p>
  <w:p w14:paraId="546C17A2" w14:textId="77777777" w:rsidR="007D6682" w:rsidRPr="00153423" w:rsidRDefault="007D6682" w:rsidP="00AD62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7B83E" w14:textId="77777777" w:rsidR="00323207" w:rsidRDefault="00323207" w:rsidP="00AD62B2">
      <w:r>
        <w:separator/>
      </w:r>
    </w:p>
  </w:footnote>
  <w:footnote w:type="continuationSeparator" w:id="0">
    <w:p w14:paraId="4B1DAB01" w14:textId="77777777" w:rsidR="00323207" w:rsidRDefault="00323207" w:rsidP="00AD62B2">
      <w:r>
        <w:continuationSeparator/>
      </w:r>
    </w:p>
  </w:footnote>
  <w:footnote w:type="continuationNotice" w:id="1">
    <w:p w14:paraId="53830916" w14:textId="77777777" w:rsidR="00323207" w:rsidRDefault="003232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72BE" w14:textId="6738E0D3" w:rsidR="00DA5AAB" w:rsidRPr="009E5E45" w:rsidRDefault="00DA5AAB" w:rsidP="009E5E45">
    <w:pPr>
      <w:pStyle w:val="Header"/>
      <w:ind w:firstLine="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73E0" w14:textId="02D6B63C" w:rsidR="00701BA4" w:rsidRPr="0088301E" w:rsidRDefault="00701BA4" w:rsidP="0088301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C66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90BD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2C8C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C79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38AD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45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98A0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258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C22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3920A02"/>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6403FA8"/>
    <w:multiLevelType w:val="hybridMultilevel"/>
    <w:tmpl w:val="CE2A967E"/>
    <w:lvl w:ilvl="0" w:tplc="C5001F9A">
      <w:numFmt w:val="bullet"/>
      <w:lvlText w:val=""/>
      <w:lvlJc w:val="left"/>
      <w:pPr>
        <w:ind w:left="356" w:hanging="360"/>
      </w:pPr>
      <w:rPr>
        <w:rFonts w:ascii="Symbol" w:eastAsiaTheme="minorHAnsi" w:hAnsi="Symbol" w:cstheme="minorBidi" w:hint="default"/>
      </w:rPr>
    </w:lvl>
    <w:lvl w:ilvl="1" w:tplc="08090003" w:tentative="1">
      <w:start w:val="1"/>
      <w:numFmt w:val="bullet"/>
      <w:lvlText w:val="o"/>
      <w:lvlJc w:val="left"/>
      <w:pPr>
        <w:ind w:left="1076" w:hanging="360"/>
      </w:pPr>
      <w:rPr>
        <w:rFonts w:ascii="Courier New" w:hAnsi="Courier New" w:cs="Courier New" w:hint="default"/>
      </w:rPr>
    </w:lvl>
    <w:lvl w:ilvl="2" w:tplc="08090005" w:tentative="1">
      <w:start w:val="1"/>
      <w:numFmt w:val="bullet"/>
      <w:lvlText w:val=""/>
      <w:lvlJc w:val="left"/>
      <w:pPr>
        <w:ind w:left="1796" w:hanging="360"/>
      </w:pPr>
      <w:rPr>
        <w:rFonts w:ascii="Wingdings" w:hAnsi="Wingdings" w:hint="default"/>
      </w:rPr>
    </w:lvl>
    <w:lvl w:ilvl="3" w:tplc="08090001" w:tentative="1">
      <w:start w:val="1"/>
      <w:numFmt w:val="bullet"/>
      <w:lvlText w:val=""/>
      <w:lvlJc w:val="left"/>
      <w:pPr>
        <w:ind w:left="2516" w:hanging="360"/>
      </w:pPr>
      <w:rPr>
        <w:rFonts w:ascii="Symbol" w:hAnsi="Symbol" w:hint="default"/>
      </w:rPr>
    </w:lvl>
    <w:lvl w:ilvl="4" w:tplc="08090003" w:tentative="1">
      <w:start w:val="1"/>
      <w:numFmt w:val="bullet"/>
      <w:lvlText w:val="o"/>
      <w:lvlJc w:val="left"/>
      <w:pPr>
        <w:ind w:left="3236" w:hanging="360"/>
      </w:pPr>
      <w:rPr>
        <w:rFonts w:ascii="Courier New" w:hAnsi="Courier New" w:cs="Courier New" w:hint="default"/>
      </w:rPr>
    </w:lvl>
    <w:lvl w:ilvl="5" w:tplc="08090005" w:tentative="1">
      <w:start w:val="1"/>
      <w:numFmt w:val="bullet"/>
      <w:lvlText w:val=""/>
      <w:lvlJc w:val="left"/>
      <w:pPr>
        <w:ind w:left="3956" w:hanging="360"/>
      </w:pPr>
      <w:rPr>
        <w:rFonts w:ascii="Wingdings" w:hAnsi="Wingdings" w:hint="default"/>
      </w:rPr>
    </w:lvl>
    <w:lvl w:ilvl="6" w:tplc="08090001" w:tentative="1">
      <w:start w:val="1"/>
      <w:numFmt w:val="bullet"/>
      <w:lvlText w:val=""/>
      <w:lvlJc w:val="left"/>
      <w:pPr>
        <w:ind w:left="4676" w:hanging="360"/>
      </w:pPr>
      <w:rPr>
        <w:rFonts w:ascii="Symbol" w:hAnsi="Symbol" w:hint="default"/>
      </w:rPr>
    </w:lvl>
    <w:lvl w:ilvl="7" w:tplc="08090003" w:tentative="1">
      <w:start w:val="1"/>
      <w:numFmt w:val="bullet"/>
      <w:lvlText w:val="o"/>
      <w:lvlJc w:val="left"/>
      <w:pPr>
        <w:ind w:left="5396" w:hanging="360"/>
      </w:pPr>
      <w:rPr>
        <w:rFonts w:ascii="Courier New" w:hAnsi="Courier New" w:cs="Courier New" w:hint="default"/>
      </w:rPr>
    </w:lvl>
    <w:lvl w:ilvl="8" w:tplc="08090005" w:tentative="1">
      <w:start w:val="1"/>
      <w:numFmt w:val="bullet"/>
      <w:lvlText w:val=""/>
      <w:lvlJc w:val="left"/>
      <w:pPr>
        <w:ind w:left="6116" w:hanging="360"/>
      </w:pPr>
      <w:rPr>
        <w:rFonts w:ascii="Wingdings" w:hAnsi="Wingdings" w:hint="default"/>
      </w:rPr>
    </w:lvl>
  </w:abstractNum>
  <w:abstractNum w:abstractNumId="15"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3675729"/>
    <w:multiLevelType w:val="hybridMultilevel"/>
    <w:tmpl w:val="CA5A6B04"/>
    <w:lvl w:ilvl="0" w:tplc="FF367DCE">
      <w:start w:val="1"/>
      <w:numFmt w:val="decimal"/>
      <w:lvlText w:val="%1."/>
      <w:lvlJc w:val="left"/>
      <w:pPr>
        <w:ind w:left="266" w:hanging="360"/>
      </w:pPr>
      <w:rPr>
        <w:color w:val="auto"/>
      </w:rPr>
    </w:lvl>
    <w:lvl w:ilvl="1" w:tplc="08090019">
      <w:start w:val="1"/>
      <w:numFmt w:val="lowerLetter"/>
      <w:lvlText w:val="%2."/>
      <w:lvlJc w:val="left"/>
      <w:pPr>
        <w:ind w:left="986" w:hanging="360"/>
      </w:pPr>
    </w:lvl>
    <w:lvl w:ilvl="2" w:tplc="0809001B">
      <w:start w:val="1"/>
      <w:numFmt w:val="lowerRoman"/>
      <w:lvlText w:val="%3."/>
      <w:lvlJc w:val="right"/>
      <w:pPr>
        <w:ind w:left="1706" w:hanging="180"/>
      </w:pPr>
    </w:lvl>
    <w:lvl w:ilvl="3" w:tplc="0809000F" w:tentative="1">
      <w:start w:val="1"/>
      <w:numFmt w:val="decimal"/>
      <w:lvlText w:val="%4."/>
      <w:lvlJc w:val="left"/>
      <w:pPr>
        <w:ind w:left="2426" w:hanging="360"/>
      </w:pPr>
    </w:lvl>
    <w:lvl w:ilvl="4" w:tplc="08090019" w:tentative="1">
      <w:start w:val="1"/>
      <w:numFmt w:val="lowerLetter"/>
      <w:lvlText w:val="%5."/>
      <w:lvlJc w:val="left"/>
      <w:pPr>
        <w:ind w:left="3146" w:hanging="360"/>
      </w:pPr>
    </w:lvl>
    <w:lvl w:ilvl="5" w:tplc="0809001B" w:tentative="1">
      <w:start w:val="1"/>
      <w:numFmt w:val="lowerRoman"/>
      <w:lvlText w:val="%6."/>
      <w:lvlJc w:val="right"/>
      <w:pPr>
        <w:ind w:left="3866" w:hanging="180"/>
      </w:pPr>
    </w:lvl>
    <w:lvl w:ilvl="6" w:tplc="0809000F" w:tentative="1">
      <w:start w:val="1"/>
      <w:numFmt w:val="decimal"/>
      <w:lvlText w:val="%7."/>
      <w:lvlJc w:val="left"/>
      <w:pPr>
        <w:ind w:left="4586" w:hanging="360"/>
      </w:pPr>
    </w:lvl>
    <w:lvl w:ilvl="7" w:tplc="08090019" w:tentative="1">
      <w:start w:val="1"/>
      <w:numFmt w:val="lowerLetter"/>
      <w:lvlText w:val="%8."/>
      <w:lvlJc w:val="left"/>
      <w:pPr>
        <w:ind w:left="5306" w:hanging="360"/>
      </w:pPr>
    </w:lvl>
    <w:lvl w:ilvl="8" w:tplc="0809001B" w:tentative="1">
      <w:start w:val="1"/>
      <w:numFmt w:val="lowerRoman"/>
      <w:lvlText w:val="%9."/>
      <w:lvlJc w:val="right"/>
      <w:pPr>
        <w:ind w:left="6026" w:hanging="180"/>
      </w:pPr>
    </w:lvl>
  </w:abstractNum>
  <w:abstractNum w:abstractNumId="17" w15:restartNumberingAfterBreak="0">
    <w:nsid w:val="5A041D8D"/>
    <w:multiLevelType w:val="multilevel"/>
    <w:tmpl w:val="3794A416"/>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54254EE"/>
    <w:multiLevelType w:val="hybridMultilevel"/>
    <w:tmpl w:val="5E6247AC"/>
    <w:lvl w:ilvl="0" w:tplc="A37E8582">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75A011C"/>
    <w:multiLevelType w:val="multilevel"/>
    <w:tmpl w:val="D6306D48"/>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16cid:durableId="2057192189">
    <w:abstractNumId w:val="9"/>
  </w:num>
  <w:num w:numId="2" w16cid:durableId="1679774673">
    <w:abstractNumId w:val="20"/>
  </w:num>
  <w:num w:numId="3" w16cid:durableId="1515341833">
    <w:abstractNumId w:val="18"/>
  </w:num>
  <w:num w:numId="4" w16cid:durableId="1730571160">
    <w:abstractNumId w:val="15"/>
  </w:num>
  <w:num w:numId="5" w16cid:durableId="1075712322">
    <w:abstractNumId w:val="11"/>
  </w:num>
  <w:num w:numId="6" w16cid:durableId="965163887">
    <w:abstractNumId w:val="10"/>
  </w:num>
  <w:num w:numId="7" w16cid:durableId="1113475230">
    <w:abstractNumId w:val="12"/>
  </w:num>
  <w:num w:numId="8" w16cid:durableId="328558063">
    <w:abstractNumId w:val="21"/>
  </w:num>
  <w:num w:numId="9" w16cid:durableId="275454739">
    <w:abstractNumId w:val="17"/>
  </w:num>
  <w:num w:numId="10" w16cid:durableId="1033770480">
    <w:abstractNumId w:val="13"/>
  </w:num>
  <w:num w:numId="11" w16cid:durableId="884873302">
    <w:abstractNumId w:val="7"/>
  </w:num>
  <w:num w:numId="12" w16cid:durableId="1575161520">
    <w:abstractNumId w:val="6"/>
  </w:num>
  <w:num w:numId="13" w16cid:durableId="2005816078">
    <w:abstractNumId w:val="5"/>
  </w:num>
  <w:num w:numId="14" w16cid:durableId="997266755">
    <w:abstractNumId w:val="4"/>
  </w:num>
  <w:num w:numId="15" w16cid:durableId="1121924302">
    <w:abstractNumId w:val="8"/>
  </w:num>
  <w:num w:numId="16" w16cid:durableId="1610163609">
    <w:abstractNumId w:val="3"/>
  </w:num>
  <w:num w:numId="17" w16cid:durableId="1508866714">
    <w:abstractNumId w:val="2"/>
  </w:num>
  <w:num w:numId="18" w16cid:durableId="1875339331">
    <w:abstractNumId w:val="1"/>
  </w:num>
  <w:num w:numId="19" w16cid:durableId="756755983">
    <w:abstractNumId w:val="0"/>
  </w:num>
  <w:num w:numId="20" w16cid:durableId="1126116651">
    <w:abstractNumId w:val="16"/>
  </w:num>
  <w:num w:numId="21" w16cid:durableId="253243328">
    <w:abstractNumId w:val="19"/>
  </w:num>
  <w:num w:numId="22" w16cid:durableId="944847418">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D7"/>
    <w:rsid w:val="00002302"/>
    <w:rsid w:val="00003955"/>
    <w:rsid w:val="000040DD"/>
    <w:rsid w:val="00016C66"/>
    <w:rsid w:val="00023063"/>
    <w:rsid w:val="0003215D"/>
    <w:rsid w:val="000367CF"/>
    <w:rsid w:val="000404B5"/>
    <w:rsid w:val="00042F32"/>
    <w:rsid w:val="00047DD5"/>
    <w:rsid w:val="000505D5"/>
    <w:rsid w:val="0005233B"/>
    <w:rsid w:val="00052698"/>
    <w:rsid w:val="000563A1"/>
    <w:rsid w:val="00061A31"/>
    <w:rsid w:val="00076282"/>
    <w:rsid w:val="00076CDF"/>
    <w:rsid w:val="00084AE6"/>
    <w:rsid w:val="000965AC"/>
    <w:rsid w:val="000A3930"/>
    <w:rsid w:val="000A46DA"/>
    <w:rsid w:val="000C083B"/>
    <w:rsid w:val="000C3CB9"/>
    <w:rsid w:val="000C58F5"/>
    <w:rsid w:val="000D007C"/>
    <w:rsid w:val="000D7473"/>
    <w:rsid w:val="000E5C74"/>
    <w:rsid w:val="000F5D79"/>
    <w:rsid w:val="00101F83"/>
    <w:rsid w:val="00105C11"/>
    <w:rsid w:val="0011617D"/>
    <w:rsid w:val="00117F24"/>
    <w:rsid w:val="00121A9F"/>
    <w:rsid w:val="00125CDC"/>
    <w:rsid w:val="00125D0E"/>
    <w:rsid w:val="001308FD"/>
    <w:rsid w:val="001379B6"/>
    <w:rsid w:val="00140F6F"/>
    <w:rsid w:val="00143FF7"/>
    <w:rsid w:val="00151173"/>
    <w:rsid w:val="00151EED"/>
    <w:rsid w:val="00153423"/>
    <w:rsid w:val="00154DF0"/>
    <w:rsid w:val="00156F04"/>
    <w:rsid w:val="00160176"/>
    <w:rsid w:val="00162B91"/>
    <w:rsid w:val="00163183"/>
    <w:rsid w:val="00164D09"/>
    <w:rsid w:val="001677E0"/>
    <w:rsid w:val="001879BE"/>
    <w:rsid w:val="00194699"/>
    <w:rsid w:val="001952FA"/>
    <w:rsid w:val="00195A64"/>
    <w:rsid w:val="001B6714"/>
    <w:rsid w:val="001C0B7F"/>
    <w:rsid w:val="001C2D2F"/>
    <w:rsid w:val="001C403B"/>
    <w:rsid w:val="001C7965"/>
    <w:rsid w:val="001D0BC8"/>
    <w:rsid w:val="001D0E03"/>
    <w:rsid w:val="001E4FE0"/>
    <w:rsid w:val="001F77A5"/>
    <w:rsid w:val="0020025E"/>
    <w:rsid w:val="00201BBD"/>
    <w:rsid w:val="00202AA9"/>
    <w:rsid w:val="00210A83"/>
    <w:rsid w:val="00214F92"/>
    <w:rsid w:val="002173E9"/>
    <w:rsid w:val="00222F58"/>
    <w:rsid w:val="0022517A"/>
    <w:rsid w:val="00227B4A"/>
    <w:rsid w:val="00232D02"/>
    <w:rsid w:val="002422C3"/>
    <w:rsid w:val="00254CC6"/>
    <w:rsid w:val="00267AEE"/>
    <w:rsid w:val="0028316C"/>
    <w:rsid w:val="00292FD7"/>
    <w:rsid w:val="00295287"/>
    <w:rsid w:val="002954FA"/>
    <w:rsid w:val="00296F3D"/>
    <w:rsid w:val="002A30D8"/>
    <w:rsid w:val="002A32BD"/>
    <w:rsid w:val="002A7C7F"/>
    <w:rsid w:val="002C2208"/>
    <w:rsid w:val="002C7020"/>
    <w:rsid w:val="002C7104"/>
    <w:rsid w:val="002C74DC"/>
    <w:rsid w:val="002D013E"/>
    <w:rsid w:val="002D4E15"/>
    <w:rsid w:val="002D4F8A"/>
    <w:rsid w:val="002D6368"/>
    <w:rsid w:val="002E3791"/>
    <w:rsid w:val="002E50AC"/>
    <w:rsid w:val="002E7153"/>
    <w:rsid w:val="0030031B"/>
    <w:rsid w:val="003005B7"/>
    <w:rsid w:val="00302864"/>
    <w:rsid w:val="00305796"/>
    <w:rsid w:val="003137E0"/>
    <w:rsid w:val="00321249"/>
    <w:rsid w:val="00323207"/>
    <w:rsid w:val="00325289"/>
    <w:rsid w:val="00331707"/>
    <w:rsid w:val="00331ACF"/>
    <w:rsid w:val="00351E00"/>
    <w:rsid w:val="003566B0"/>
    <w:rsid w:val="00357547"/>
    <w:rsid w:val="00363F09"/>
    <w:rsid w:val="00365015"/>
    <w:rsid w:val="00371E87"/>
    <w:rsid w:val="003737D0"/>
    <w:rsid w:val="00375F9A"/>
    <w:rsid w:val="00376FD5"/>
    <w:rsid w:val="00385D02"/>
    <w:rsid w:val="00385D68"/>
    <w:rsid w:val="0039168F"/>
    <w:rsid w:val="00395AD4"/>
    <w:rsid w:val="003975EA"/>
    <w:rsid w:val="003A15A7"/>
    <w:rsid w:val="003A7E51"/>
    <w:rsid w:val="003B32F0"/>
    <w:rsid w:val="003C15B3"/>
    <w:rsid w:val="003D1170"/>
    <w:rsid w:val="003D2C4A"/>
    <w:rsid w:val="003D55B7"/>
    <w:rsid w:val="003E42B8"/>
    <w:rsid w:val="003E666D"/>
    <w:rsid w:val="003E6D81"/>
    <w:rsid w:val="003F3A6C"/>
    <w:rsid w:val="00400A51"/>
    <w:rsid w:val="004026A7"/>
    <w:rsid w:val="004061C9"/>
    <w:rsid w:val="00411109"/>
    <w:rsid w:val="00417D29"/>
    <w:rsid w:val="00425C92"/>
    <w:rsid w:val="00447DCB"/>
    <w:rsid w:val="004517CE"/>
    <w:rsid w:val="0045278B"/>
    <w:rsid w:val="0047422A"/>
    <w:rsid w:val="004748F8"/>
    <w:rsid w:val="004759B0"/>
    <w:rsid w:val="0047638E"/>
    <w:rsid w:val="004812FF"/>
    <w:rsid w:val="004813F5"/>
    <w:rsid w:val="00481F27"/>
    <w:rsid w:val="00486944"/>
    <w:rsid w:val="00491252"/>
    <w:rsid w:val="00493C69"/>
    <w:rsid w:val="00495649"/>
    <w:rsid w:val="004A0C5A"/>
    <w:rsid w:val="004A550F"/>
    <w:rsid w:val="004A5AED"/>
    <w:rsid w:val="004B0B49"/>
    <w:rsid w:val="004C0E85"/>
    <w:rsid w:val="004C1903"/>
    <w:rsid w:val="004D736A"/>
    <w:rsid w:val="004E09CD"/>
    <w:rsid w:val="004E2432"/>
    <w:rsid w:val="004F68A2"/>
    <w:rsid w:val="00503519"/>
    <w:rsid w:val="00503754"/>
    <w:rsid w:val="00512F81"/>
    <w:rsid w:val="00514166"/>
    <w:rsid w:val="00516DF0"/>
    <w:rsid w:val="00526D9F"/>
    <w:rsid w:val="00527D6E"/>
    <w:rsid w:val="0053346B"/>
    <w:rsid w:val="00535D6E"/>
    <w:rsid w:val="005372A7"/>
    <w:rsid w:val="00540C4E"/>
    <w:rsid w:val="00552CFE"/>
    <w:rsid w:val="00555718"/>
    <w:rsid w:val="00565620"/>
    <w:rsid w:val="005720CE"/>
    <w:rsid w:val="0057403C"/>
    <w:rsid w:val="0058391B"/>
    <w:rsid w:val="00584BDE"/>
    <w:rsid w:val="00584D71"/>
    <w:rsid w:val="00592560"/>
    <w:rsid w:val="00592F36"/>
    <w:rsid w:val="00593693"/>
    <w:rsid w:val="005A59E5"/>
    <w:rsid w:val="005A6851"/>
    <w:rsid w:val="005A7236"/>
    <w:rsid w:val="005A78A1"/>
    <w:rsid w:val="005B40FE"/>
    <w:rsid w:val="005B63D5"/>
    <w:rsid w:val="005C379A"/>
    <w:rsid w:val="005C3F0D"/>
    <w:rsid w:val="005C409E"/>
    <w:rsid w:val="005D08F8"/>
    <w:rsid w:val="005D52A9"/>
    <w:rsid w:val="005D785E"/>
    <w:rsid w:val="005E1937"/>
    <w:rsid w:val="005E57EC"/>
    <w:rsid w:val="005F1E59"/>
    <w:rsid w:val="005F35B6"/>
    <w:rsid w:val="005F7BC8"/>
    <w:rsid w:val="00613E4F"/>
    <w:rsid w:val="00616157"/>
    <w:rsid w:val="00622CF7"/>
    <w:rsid w:val="00627EC8"/>
    <w:rsid w:val="006306EE"/>
    <w:rsid w:val="0063688A"/>
    <w:rsid w:val="00637846"/>
    <w:rsid w:val="00643FF4"/>
    <w:rsid w:val="00645595"/>
    <w:rsid w:val="006455C6"/>
    <w:rsid w:val="00645C7E"/>
    <w:rsid w:val="00652442"/>
    <w:rsid w:val="006574A6"/>
    <w:rsid w:val="006614A7"/>
    <w:rsid w:val="00664ACC"/>
    <w:rsid w:val="0067291C"/>
    <w:rsid w:val="00672B19"/>
    <w:rsid w:val="006731A2"/>
    <w:rsid w:val="00690B8B"/>
    <w:rsid w:val="0069696E"/>
    <w:rsid w:val="006A0790"/>
    <w:rsid w:val="006B1898"/>
    <w:rsid w:val="006C088E"/>
    <w:rsid w:val="006C70DE"/>
    <w:rsid w:val="006E432A"/>
    <w:rsid w:val="006E5EC5"/>
    <w:rsid w:val="006E6716"/>
    <w:rsid w:val="006F12D2"/>
    <w:rsid w:val="006F1D90"/>
    <w:rsid w:val="006F20C4"/>
    <w:rsid w:val="006F4292"/>
    <w:rsid w:val="006F4968"/>
    <w:rsid w:val="00701BA4"/>
    <w:rsid w:val="00703254"/>
    <w:rsid w:val="007110BA"/>
    <w:rsid w:val="00711939"/>
    <w:rsid w:val="007119FB"/>
    <w:rsid w:val="007147FD"/>
    <w:rsid w:val="0071649C"/>
    <w:rsid w:val="0071726F"/>
    <w:rsid w:val="00720DEE"/>
    <w:rsid w:val="007278C2"/>
    <w:rsid w:val="00731307"/>
    <w:rsid w:val="00740387"/>
    <w:rsid w:val="007522A4"/>
    <w:rsid w:val="007556A8"/>
    <w:rsid w:val="007566A0"/>
    <w:rsid w:val="00762786"/>
    <w:rsid w:val="00766FC6"/>
    <w:rsid w:val="00777BD7"/>
    <w:rsid w:val="007918BC"/>
    <w:rsid w:val="00794A67"/>
    <w:rsid w:val="007A3157"/>
    <w:rsid w:val="007A4D40"/>
    <w:rsid w:val="007B098C"/>
    <w:rsid w:val="007B0E3B"/>
    <w:rsid w:val="007B0F24"/>
    <w:rsid w:val="007B1D9E"/>
    <w:rsid w:val="007B6174"/>
    <w:rsid w:val="007B6FFF"/>
    <w:rsid w:val="007C337E"/>
    <w:rsid w:val="007D2BFD"/>
    <w:rsid w:val="007D335D"/>
    <w:rsid w:val="007D56AE"/>
    <w:rsid w:val="007D6682"/>
    <w:rsid w:val="007E0DE0"/>
    <w:rsid w:val="007E1B30"/>
    <w:rsid w:val="007E64A9"/>
    <w:rsid w:val="007F1381"/>
    <w:rsid w:val="007F28E6"/>
    <w:rsid w:val="007F3910"/>
    <w:rsid w:val="007F59BC"/>
    <w:rsid w:val="00801430"/>
    <w:rsid w:val="008020B6"/>
    <w:rsid w:val="00803C71"/>
    <w:rsid w:val="00803F83"/>
    <w:rsid w:val="008048EF"/>
    <w:rsid w:val="0080622B"/>
    <w:rsid w:val="0081055B"/>
    <w:rsid w:val="00812A70"/>
    <w:rsid w:val="0081510A"/>
    <w:rsid w:val="008200FE"/>
    <w:rsid w:val="00821E3F"/>
    <w:rsid w:val="008332C5"/>
    <w:rsid w:val="00835A0A"/>
    <w:rsid w:val="00842651"/>
    <w:rsid w:val="00847148"/>
    <w:rsid w:val="00847890"/>
    <w:rsid w:val="008561E2"/>
    <w:rsid w:val="0087017A"/>
    <w:rsid w:val="00870A6A"/>
    <w:rsid w:val="008736AC"/>
    <w:rsid w:val="00874829"/>
    <w:rsid w:val="00877471"/>
    <w:rsid w:val="00880C7A"/>
    <w:rsid w:val="0088301E"/>
    <w:rsid w:val="00885D1D"/>
    <w:rsid w:val="008905DD"/>
    <w:rsid w:val="0089382D"/>
    <w:rsid w:val="00895969"/>
    <w:rsid w:val="008A1E59"/>
    <w:rsid w:val="008A5A73"/>
    <w:rsid w:val="008B037E"/>
    <w:rsid w:val="008B2E69"/>
    <w:rsid w:val="008B5701"/>
    <w:rsid w:val="008C33DB"/>
    <w:rsid w:val="008C7975"/>
    <w:rsid w:val="008C7AEC"/>
    <w:rsid w:val="008D1837"/>
    <w:rsid w:val="008D19B8"/>
    <w:rsid w:val="008E1460"/>
    <w:rsid w:val="008E432E"/>
    <w:rsid w:val="008E5800"/>
    <w:rsid w:val="008E70B4"/>
    <w:rsid w:val="008E748E"/>
    <w:rsid w:val="008E79AC"/>
    <w:rsid w:val="008F5B31"/>
    <w:rsid w:val="008F5F53"/>
    <w:rsid w:val="008F608D"/>
    <w:rsid w:val="009000B6"/>
    <w:rsid w:val="00902EFF"/>
    <w:rsid w:val="0090398D"/>
    <w:rsid w:val="00905BB1"/>
    <w:rsid w:val="009218E1"/>
    <w:rsid w:val="00923F56"/>
    <w:rsid w:val="0093677A"/>
    <w:rsid w:val="00936955"/>
    <w:rsid w:val="009536BB"/>
    <w:rsid w:val="00953728"/>
    <w:rsid w:val="00953AA0"/>
    <w:rsid w:val="00960AD7"/>
    <w:rsid w:val="0096147C"/>
    <w:rsid w:val="00963DC2"/>
    <w:rsid w:val="00964A91"/>
    <w:rsid w:val="0096624C"/>
    <w:rsid w:val="009672B2"/>
    <w:rsid w:val="009718A3"/>
    <w:rsid w:val="009846C6"/>
    <w:rsid w:val="0098520D"/>
    <w:rsid w:val="00987523"/>
    <w:rsid w:val="009878BD"/>
    <w:rsid w:val="00987B43"/>
    <w:rsid w:val="00994ACF"/>
    <w:rsid w:val="009A2A70"/>
    <w:rsid w:val="009A6C11"/>
    <w:rsid w:val="009C0A70"/>
    <w:rsid w:val="009C14A4"/>
    <w:rsid w:val="009C5246"/>
    <w:rsid w:val="009C6E89"/>
    <w:rsid w:val="009D274E"/>
    <w:rsid w:val="009D6442"/>
    <w:rsid w:val="009D77EE"/>
    <w:rsid w:val="009E2623"/>
    <w:rsid w:val="009E3E52"/>
    <w:rsid w:val="009E5E45"/>
    <w:rsid w:val="009E6111"/>
    <w:rsid w:val="009F1F4A"/>
    <w:rsid w:val="00A02CAC"/>
    <w:rsid w:val="00A247CC"/>
    <w:rsid w:val="00A26E84"/>
    <w:rsid w:val="00A42B71"/>
    <w:rsid w:val="00A60982"/>
    <w:rsid w:val="00AA07CB"/>
    <w:rsid w:val="00AA2CA8"/>
    <w:rsid w:val="00AB01D7"/>
    <w:rsid w:val="00AB5199"/>
    <w:rsid w:val="00AB56A2"/>
    <w:rsid w:val="00AC2D89"/>
    <w:rsid w:val="00AC32B7"/>
    <w:rsid w:val="00AD5122"/>
    <w:rsid w:val="00AD62B2"/>
    <w:rsid w:val="00AE33E9"/>
    <w:rsid w:val="00AE3A0D"/>
    <w:rsid w:val="00AE6774"/>
    <w:rsid w:val="00AF201F"/>
    <w:rsid w:val="00AF421F"/>
    <w:rsid w:val="00B04A01"/>
    <w:rsid w:val="00B0699A"/>
    <w:rsid w:val="00B101EC"/>
    <w:rsid w:val="00B10AD7"/>
    <w:rsid w:val="00B123EE"/>
    <w:rsid w:val="00B14707"/>
    <w:rsid w:val="00B15A97"/>
    <w:rsid w:val="00B223D9"/>
    <w:rsid w:val="00B270C0"/>
    <w:rsid w:val="00B3745D"/>
    <w:rsid w:val="00B43FC6"/>
    <w:rsid w:val="00B56823"/>
    <w:rsid w:val="00B632F8"/>
    <w:rsid w:val="00B632FD"/>
    <w:rsid w:val="00B6379A"/>
    <w:rsid w:val="00B675FD"/>
    <w:rsid w:val="00B754E7"/>
    <w:rsid w:val="00B81E51"/>
    <w:rsid w:val="00B826E5"/>
    <w:rsid w:val="00B872F6"/>
    <w:rsid w:val="00BA10BE"/>
    <w:rsid w:val="00BA5321"/>
    <w:rsid w:val="00BA6271"/>
    <w:rsid w:val="00BB2723"/>
    <w:rsid w:val="00BC1F12"/>
    <w:rsid w:val="00BC6B2D"/>
    <w:rsid w:val="00BD10AB"/>
    <w:rsid w:val="00BD5521"/>
    <w:rsid w:val="00BE0ACB"/>
    <w:rsid w:val="00BF26D2"/>
    <w:rsid w:val="00BF5687"/>
    <w:rsid w:val="00C22A6C"/>
    <w:rsid w:val="00C236B3"/>
    <w:rsid w:val="00C37F9B"/>
    <w:rsid w:val="00C51037"/>
    <w:rsid w:val="00C55666"/>
    <w:rsid w:val="00C55AED"/>
    <w:rsid w:val="00C629EB"/>
    <w:rsid w:val="00C63D50"/>
    <w:rsid w:val="00C647C1"/>
    <w:rsid w:val="00C64EDF"/>
    <w:rsid w:val="00C77025"/>
    <w:rsid w:val="00C83F58"/>
    <w:rsid w:val="00C84BCF"/>
    <w:rsid w:val="00C9073A"/>
    <w:rsid w:val="00C92573"/>
    <w:rsid w:val="00C97131"/>
    <w:rsid w:val="00CA5846"/>
    <w:rsid w:val="00CA6CB6"/>
    <w:rsid w:val="00CB3530"/>
    <w:rsid w:val="00CC0113"/>
    <w:rsid w:val="00CD532B"/>
    <w:rsid w:val="00CD6AA8"/>
    <w:rsid w:val="00CE1D9D"/>
    <w:rsid w:val="00CE5E13"/>
    <w:rsid w:val="00CE765A"/>
    <w:rsid w:val="00D01888"/>
    <w:rsid w:val="00D028ED"/>
    <w:rsid w:val="00D05CF8"/>
    <w:rsid w:val="00D10FCA"/>
    <w:rsid w:val="00D15624"/>
    <w:rsid w:val="00D162BB"/>
    <w:rsid w:val="00D30BBE"/>
    <w:rsid w:val="00D3103D"/>
    <w:rsid w:val="00D31758"/>
    <w:rsid w:val="00D46968"/>
    <w:rsid w:val="00D51669"/>
    <w:rsid w:val="00D56D47"/>
    <w:rsid w:val="00D64C73"/>
    <w:rsid w:val="00D64D04"/>
    <w:rsid w:val="00D7057B"/>
    <w:rsid w:val="00D70FE5"/>
    <w:rsid w:val="00D81007"/>
    <w:rsid w:val="00D81A54"/>
    <w:rsid w:val="00D9187A"/>
    <w:rsid w:val="00D91A5B"/>
    <w:rsid w:val="00D928AD"/>
    <w:rsid w:val="00DA13B0"/>
    <w:rsid w:val="00DA5AAB"/>
    <w:rsid w:val="00DB6110"/>
    <w:rsid w:val="00DB707D"/>
    <w:rsid w:val="00DD35CB"/>
    <w:rsid w:val="00DD44F2"/>
    <w:rsid w:val="00DD47BD"/>
    <w:rsid w:val="00DD54A1"/>
    <w:rsid w:val="00DD54F3"/>
    <w:rsid w:val="00E0165F"/>
    <w:rsid w:val="00E141F7"/>
    <w:rsid w:val="00E16222"/>
    <w:rsid w:val="00E24C3C"/>
    <w:rsid w:val="00E33023"/>
    <w:rsid w:val="00E40FA6"/>
    <w:rsid w:val="00E47E44"/>
    <w:rsid w:val="00E52BB7"/>
    <w:rsid w:val="00E53F9C"/>
    <w:rsid w:val="00E610E1"/>
    <w:rsid w:val="00E618C5"/>
    <w:rsid w:val="00E61E6E"/>
    <w:rsid w:val="00E662F4"/>
    <w:rsid w:val="00E75BC9"/>
    <w:rsid w:val="00E77C98"/>
    <w:rsid w:val="00E80CEF"/>
    <w:rsid w:val="00E81AC5"/>
    <w:rsid w:val="00E82156"/>
    <w:rsid w:val="00E85176"/>
    <w:rsid w:val="00EA3AFF"/>
    <w:rsid w:val="00EA6CDB"/>
    <w:rsid w:val="00EA7A4C"/>
    <w:rsid w:val="00EB4174"/>
    <w:rsid w:val="00ED5BAA"/>
    <w:rsid w:val="00EE4698"/>
    <w:rsid w:val="00EE48FE"/>
    <w:rsid w:val="00EF1910"/>
    <w:rsid w:val="00EF4A33"/>
    <w:rsid w:val="00EF6B1C"/>
    <w:rsid w:val="00F0006F"/>
    <w:rsid w:val="00F069C8"/>
    <w:rsid w:val="00F075F3"/>
    <w:rsid w:val="00F07B8E"/>
    <w:rsid w:val="00F11BF5"/>
    <w:rsid w:val="00F22C64"/>
    <w:rsid w:val="00F24E47"/>
    <w:rsid w:val="00F264F7"/>
    <w:rsid w:val="00F30281"/>
    <w:rsid w:val="00F32473"/>
    <w:rsid w:val="00F33B52"/>
    <w:rsid w:val="00F3594F"/>
    <w:rsid w:val="00F54F92"/>
    <w:rsid w:val="00F6662B"/>
    <w:rsid w:val="00F770BA"/>
    <w:rsid w:val="00F83049"/>
    <w:rsid w:val="00F867C7"/>
    <w:rsid w:val="00F86C57"/>
    <w:rsid w:val="00FA1A37"/>
    <w:rsid w:val="00FA2F9E"/>
    <w:rsid w:val="00FA3617"/>
    <w:rsid w:val="00FA6040"/>
    <w:rsid w:val="00FB1FB0"/>
    <w:rsid w:val="00FB2952"/>
    <w:rsid w:val="00FB371C"/>
    <w:rsid w:val="00FB617C"/>
    <w:rsid w:val="00FE1983"/>
    <w:rsid w:val="00FE432F"/>
    <w:rsid w:val="00FE75AE"/>
    <w:rsid w:val="00FF0842"/>
    <w:rsid w:val="00FF5DFA"/>
    <w:rsid w:val="00FF64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B7FBA"/>
  <w14:defaultImageDpi w14:val="330"/>
  <w15:chartTrackingRefBased/>
  <w15:docId w15:val="{11695D22-6DC1-4F6A-B8F9-1CD075BBD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F0D"/>
    <w:rPr>
      <w:rFonts w:ascii="Arial" w:hAnsi="Arial"/>
    </w:rPr>
  </w:style>
  <w:style w:type="paragraph" w:styleId="Heading1">
    <w:name w:val="heading 1"/>
    <w:basedOn w:val="Normal"/>
    <w:next w:val="Normal"/>
    <w:link w:val="Heading1Char"/>
    <w:uiPriority w:val="9"/>
    <w:qFormat/>
    <w:rsid w:val="004748F8"/>
    <w:pPr>
      <w:keepNext/>
      <w:keepLines/>
      <w:spacing w:before="240"/>
      <w:ind w:firstLine="0"/>
      <w:outlineLvl w:val="0"/>
    </w:pPr>
    <w:rPr>
      <w:rFonts w:eastAsiaTheme="majorEastAsia" w:cstheme="majorBidi"/>
      <w:b/>
      <w:noProof/>
      <w:color w:val="000000" w:themeColor="text1"/>
      <w:sz w:val="36"/>
      <w:szCs w:val="36"/>
    </w:rPr>
  </w:style>
  <w:style w:type="paragraph" w:styleId="Heading2">
    <w:name w:val="heading 2"/>
    <w:basedOn w:val="Normal"/>
    <w:next w:val="Normal"/>
    <w:link w:val="Heading2Char"/>
    <w:uiPriority w:val="9"/>
    <w:unhideWhenUsed/>
    <w:qFormat/>
    <w:rsid w:val="00AE33E9"/>
    <w:pPr>
      <w:keepNext/>
      <w:keepLines/>
      <w:widowControl w:val="0"/>
      <w:spacing w:before="360" w:line="420" w:lineRule="exact"/>
      <w:ind w:firstLine="0"/>
      <w:outlineLvl w:val="1"/>
    </w:pPr>
    <w:rPr>
      <w:rFonts w:eastAsia="Times New Roman" w:cs="Times New Roman"/>
      <w:b/>
      <w:color w:val="000000" w:themeColor="text1"/>
      <w:sz w:val="28"/>
      <w:szCs w:val="32"/>
    </w:rPr>
  </w:style>
  <w:style w:type="paragraph" w:styleId="Heading3">
    <w:name w:val="heading 3"/>
    <w:basedOn w:val="Normal"/>
    <w:next w:val="Normal"/>
    <w:link w:val="Heading3Char"/>
    <w:uiPriority w:val="9"/>
    <w:unhideWhenUsed/>
    <w:qFormat/>
    <w:rsid w:val="00987523"/>
    <w:pPr>
      <w:keepNext/>
      <w:keepLines/>
      <w:spacing w:before="240"/>
      <w:outlineLvl w:val="2"/>
    </w:pPr>
    <w:rPr>
      <w:rFonts w:eastAsiaTheme="majorEastAsia" w:cstheme="majorBidi"/>
      <w:b/>
      <w:color w:val="000000" w:themeColor="text1"/>
      <w:sz w:val="28"/>
    </w:rPr>
  </w:style>
  <w:style w:type="paragraph" w:styleId="Heading4">
    <w:name w:val="heading 4"/>
    <w:aliases w:val="LGA TITLE"/>
    <w:basedOn w:val="Normal"/>
    <w:next w:val="Normal"/>
    <w:link w:val="Heading4Char"/>
    <w:uiPriority w:val="9"/>
    <w:rsid w:val="002C7020"/>
    <w:pPr>
      <w:widowControl w:val="0"/>
      <w:spacing w:line="400" w:lineRule="exact"/>
      <w:outlineLvl w:val="3"/>
    </w:pPr>
    <w:rPr>
      <w:rFonts w:eastAsia="Times New Roman" w:cs="Times New Roman"/>
      <w:b/>
      <w:bCs/>
      <w:color w:val="1F497D" w:themeColor="text2"/>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rsid w:val="00CA6CB6"/>
    <w:pPr>
      <w:ind w:left="1560"/>
    </w:pPr>
    <w:rPr>
      <w:rFonts w:cs="Times New Roman"/>
      <w:b/>
      <w:szCs w:val="22"/>
      <w:lang w:val="en-US"/>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2C7020"/>
    <w:rPr>
      <w:rFonts w:ascii="Arial" w:eastAsia="Times New Roman" w:hAnsi="Arial" w:cs="Times New Roman"/>
      <w:b/>
      <w:bCs/>
      <w:color w:val="1F497D" w:themeColor="text2"/>
      <w:sz w:val="28"/>
      <w:szCs w:val="28"/>
      <w:lang w:val="x-none"/>
    </w:rPr>
  </w:style>
  <w:style w:type="paragraph" w:customStyle="1" w:styleId="numbers">
    <w:name w:val="numbers"/>
    <w:basedOn w:val="Normal"/>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4748F8"/>
    <w:rPr>
      <w:rFonts w:ascii="Arial" w:eastAsiaTheme="majorEastAsia" w:hAnsi="Arial" w:cstheme="majorBidi"/>
      <w:b/>
      <w:noProof/>
      <w:color w:val="000000" w:themeColor="text1"/>
      <w:sz w:val="36"/>
      <w:szCs w:val="36"/>
    </w:rPr>
  </w:style>
  <w:style w:type="character" w:customStyle="1" w:styleId="Heading2Char">
    <w:name w:val="Heading 2 Char"/>
    <w:basedOn w:val="DefaultParagraphFont"/>
    <w:link w:val="Heading2"/>
    <w:uiPriority w:val="9"/>
    <w:rsid w:val="00AE33E9"/>
    <w:rPr>
      <w:rFonts w:ascii="Arial" w:eastAsia="Times New Roman" w:hAnsi="Arial" w:cs="Times New Roman"/>
      <w:b/>
      <w:color w:val="000000" w:themeColor="text1"/>
      <w:sz w:val="28"/>
      <w:szCs w:val="32"/>
    </w:rPr>
  </w:style>
  <w:style w:type="character" w:customStyle="1" w:styleId="Heading3Char">
    <w:name w:val="Heading 3 Char"/>
    <w:basedOn w:val="DefaultParagraphFont"/>
    <w:link w:val="Heading3"/>
    <w:uiPriority w:val="9"/>
    <w:rsid w:val="00987523"/>
    <w:rPr>
      <w:rFonts w:ascii="Arial" w:eastAsiaTheme="majorEastAsia" w:hAnsi="Arial" w:cstheme="majorBidi"/>
      <w:b/>
      <w:color w:val="000000" w:themeColor="text1"/>
      <w:sz w:val="28"/>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styleId="ListParagraph">
    <w:name w:val="List Paragraph"/>
    <w:basedOn w:val="Normal"/>
    <w:uiPriority w:val="34"/>
    <w:rsid w:val="00BA5321"/>
    <w:pPr>
      <w:spacing w:before="0" w:after="160"/>
      <w:ind w:left="720"/>
    </w:pPr>
  </w:style>
  <w:style w:type="character" w:styleId="CommentReference">
    <w:name w:val="annotation reference"/>
    <w:basedOn w:val="DefaultParagraphFont"/>
    <w:uiPriority w:val="99"/>
    <w:semiHidden/>
    <w:unhideWhenUsed/>
    <w:rsid w:val="00AB01D7"/>
    <w:rPr>
      <w:sz w:val="16"/>
      <w:szCs w:val="16"/>
    </w:rPr>
  </w:style>
  <w:style w:type="paragraph" w:styleId="CommentText">
    <w:name w:val="annotation text"/>
    <w:basedOn w:val="Normal"/>
    <w:link w:val="CommentTextChar"/>
    <w:uiPriority w:val="99"/>
    <w:semiHidden/>
    <w:unhideWhenUsed/>
    <w:rsid w:val="00AB01D7"/>
    <w:pPr>
      <w:spacing w:line="240" w:lineRule="auto"/>
    </w:pPr>
    <w:rPr>
      <w:sz w:val="20"/>
      <w:szCs w:val="20"/>
    </w:rPr>
  </w:style>
  <w:style w:type="character" w:customStyle="1" w:styleId="CommentTextChar">
    <w:name w:val="Comment Text Char"/>
    <w:basedOn w:val="DefaultParagraphFont"/>
    <w:link w:val="CommentText"/>
    <w:uiPriority w:val="99"/>
    <w:semiHidden/>
    <w:rsid w:val="00AB01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01D7"/>
    <w:rPr>
      <w:b/>
      <w:bCs/>
    </w:rPr>
  </w:style>
  <w:style w:type="character" w:customStyle="1" w:styleId="CommentSubjectChar">
    <w:name w:val="Comment Subject Char"/>
    <w:basedOn w:val="CommentTextChar"/>
    <w:link w:val="CommentSubject"/>
    <w:uiPriority w:val="99"/>
    <w:semiHidden/>
    <w:rsid w:val="00AB01D7"/>
    <w:rPr>
      <w:rFonts w:ascii="Arial" w:hAnsi="Arial"/>
      <w:b/>
      <w:bCs/>
      <w:sz w:val="20"/>
      <w:szCs w:val="20"/>
    </w:rPr>
  </w:style>
  <w:style w:type="paragraph" w:styleId="Revision">
    <w:name w:val="Revision"/>
    <w:hidden/>
    <w:uiPriority w:val="99"/>
    <w:semiHidden/>
    <w:rsid w:val="00B81E51"/>
    <w:pPr>
      <w:spacing w:before="0" w:after="0" w:line="240" w:lineRule="auto"/>
      <w:ind w:firstLine="0"/>
    </w:pPr>
    <w:rPr>
      <w:rFonts w:ascii="Arial" w:hAnsi="Arial"/>
    </w:rPr>
  </w:style>
  <w:style w:type="character" w:styleId="FollowedHyperlink">
    <w:name w:val="FollowedHyperlink"/>
    <w:basedOn w:val="DefaultParagraphFont"/>
    <w:uiPriority w:val="99"/>
    <w:semiHidden/>
    <w:unhideWhenUsed/>
    <w:rsid w:val="000C58F5"/>
    <w:rPr>
      <w:color w:val="800080" w:themeColor="followedHyperlink"/>
      <w:u w:val="single"/>
    </w:rPr>
  </w:style>
  <w:style w:type="paragraph" w:styleId="FootnoteText">
    <w:name w:val="footnote text"/>
    <w:basedOn w:val="Normal"/>
    <w:link w:val="FootnoteTextChar"/>
    <w:uiPriority w:val="99"/>
    <w:semiHidden/>
    <w:unhideWhenUsed/>
    <w:rsid w:val="00EA7A4C"/>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EA7A4C"/>
    <w:rPr>
      <w:rFonts w:ascii="Arial" w:hAnsi="Arial"/>
      <w:sz w:val="20"/>
      <w:szCs w:val="20"/>
    </w:rPr>
  </w:style>
  <w:style w:type="character" w:styleId="FootnoteReference">
    <w:name w:val="footnote reference"/>
    <w:basedOn w:val="DefaultParagraphFont"/>
    <w:uiPriority w:val="99"/>
    <w:semiHidden/>
    <w:unhideWhenUsed/>
    <w:rsid w:val="00EA7A4C"/>
    <w:rPr>
      <w:vertAlign w:val="superscript"/>
    </w:rPr>
  </w:style>
  <w:style w:type="paragraph" w:styleId="TOC2">
    <w:name w:val="toc 2"/>
    <w:basedOn w:val="Normal"/>
    <w:next w:val="Normal"/>
    <w:autoRedefine/>
    <w:uiPriority w:val="39"/>
    <w:unhideWhenUsed/>
    <w:rsid w:val="001952FA"/>
    <w:pPr>
      <w:spacing w:after="100"/>
      <w:ind w:left="240"/>
    </w:pPr>
  </w:style>
  <w:style w:type="paragraph" w:styleId="TOC1">
    <w:name w:val="toc 1"/>
    <w:basedOn w:val="Normal"/>
    <w:next w:val="Normal"/>
    <w:autoRedefine/>
    <w:uiPriority w:val="39"/>
    <w:unhideWhenUsed/>
    <w:rsid w:val="001952FA"/>
    <w:pPr>
      <w:spacing w:after="100"/>
    </w:pPr>
  </w:style>
  <w:style w:type="paragraph" w:styleId="TOC3">
    <w:name w:val="toc 3"/>
    <w:basedOn w:val="Normal"/>
    <w:next w:val="Normal"/>
    <w:autoRedefine/>
    <w:uiPriority w:val="39"/>
    <w:unhideWhenUsed/>
    <w:rsid w:val="001952FA"/>
    <w:pPr>
      <w:spacing w:after="100"/>
      <w:ind w:left="480"/>
    </w:pPr>
  </w:style>
  <w:style w:type="paragraph" w:styleId="TOCHeading">
    <w:name w:val="TOC Heading"/>
    <w:basedOn w:val="Heading1"/>
    <w:next w:val="Normal"/>
    <w:uiPriority w:val="39"/>
    <w:unhideWhenUsed/>
    <w:qFormat/>
    <w:rsid w:val="00047DD5"/>
    <w:pPr>
      <w:spacing w:after="0" w:line="259" w:lineRule="auto"/>
      <w:outlineLvl w:val="9"/>
    </w:pPr>
    <w:rPr>
      <w:rFonts w:asciiTheme="majorHAnsi" w:hAnsiTheme="majorHAnsi"/>
      <w:b w:val="0"/>
      <w:noProof w:val="0"/>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497107814">
      <w:bodyDiv w:val="1"/>
      <w:marLeft w:val="0"/>
      <w:marRight w:val="0"/>
      <w:marTop w:val="0"/>
      <w:marBottom w:val="0"/>
      <w:divBdr>
        <w:top w:val="none" w:sz="0" w:space="0" w:color="auto"/>
        <w:left w:val="none" w:sz="0" w:space="0" w:color="auto"/>
        <w:bottom w:val="none" w:sz="0" w:space="0" w:color="auto"/>
        <w:right w:val="none" w:sz="0" w:space="0" w:color="auto"/>
      </w:divBdr>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860773142">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xplore-education-statistics.service.gov.uk/data-tables/permalink/1e024b21-a940-44ef-5dbe-08dad5210ff4" TargetMode="External"/><Relationship Id="rId18" Type="http://schemas.openxmlformats.org/officeDocument/2006/relationships/hyperlink" Target="https://explore-education-statistics.service.gov.uk/data-tables/permalink/1e024b21-a940-44ef-5dbe-08dad5210ff4" TargetMode="External"/><Relationship Id="rId26" Type="http://schemas.openxmlformats.org/officeDocument/2006/relationships/hyperlink" Target="https://www.gov.uk/government/statistics/fostering-in-england-1-april-2021-to-31-march-2022/fostering-in-england-1-april-2021-to-31-march-2022" TargetMode="External"/><Relationship Id="rId3" Type="http://schemas.openxmlformats.org/officeDocument/2006/relationships/customXml" Target="../customXml/item3.xml"/><Relationship Id="rId21" Type="http://schemas.openxmlformats.org/officeDocument/2006/relationships/hyperlink" Target="https://www.gov.uk/government/statistics/fostering-in-england-1-april-2020-to-31-march-2021/fostering-in-england-2020-to-2021-main-findings"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ebarchive.nationalarchives.gov.uk/ukgwa/20130102230431/https:/www.education.gov.uk/researchandstatistics/datasets/a00196857/children-looked-after-by-las-in-england" TargetMode="External"/><Relationship Id="rId17" Type="http://schemas.openxmlformats.org/officeDocument/2006/relationships/hyperlink" Target="https://explore-education-statistics.service.gov.uk/data-tables/permalink/63326868-c1a4-41a7-5dc0-08dad5210ff4" TargetMode="External"/><Relationship Id="rId25" Type="http://schemas.openxmlformats.org/officeDocument/2006/relationships/hyperlink" Target="https://www.gov.uk/government/statistics/childrens-social-care-data-in-england-2022/main-findings-childrens-social-care-in-england-2022" TargetMode="External"/><Relationship Id="rId33" Type="http://schemas.openxmlformats.org/officeDocument/2006/relationships/hyperlink" Target="https://www.sciencedirect.com/science/article/pii/S0277953622006293"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ebarchive.nationalarchives.gov.uk/ukgwa/20130102230431/https:/www.education.gov.uk/researchandstatistics/datasets/a00196857/children-looked-after-by-las-in-england" TargetMode="External"/><Relationship Id="rId20" Type="http://schemas.openxmlformats.org/officeDocument/2006/relationships/hyperlink" Target="https://www.gov.uk/government/statistics/childrens-social-care-data-in-england-2022/main-findings-childrens-social-care-in-england-2022" TargetMode="External"/><Relationship Id="rId29" Type="http://schemas.openxmlformats.org/officeDocument/2006/relationships/hyperlink" Target="https://explore-education-statistics.service.gov.uk/data-tables/permalink/36e82610-5b28-4890-e542-08dac267108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statistics/childrens-social-care-data-in-england-2022/main-findings-childrens-social-care-in-england-2022" TargetMode="External"/><Relationship Id="rId32" Type="http://schemas.openxmlformats.org/officeDocument/2006/relationships/hyperlink" Target="https://www.gov.uk/government/statistics/childrens-social-care-data-in-england-2022/main-findings-childrens-social-care-in-england-2022"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xplore-education-statistics.service.gov.uk/data-tables/permalink/1e024b21-a940-44ef-5dbe-08dad5210ff4" TargetMode="External"/><Relationship Id="rId23" Type="http://schemas.openxmlformats.org/officeDocument/2006/relationships/hyperlink" Target="https://www.gov.uk/government/publications/childrens-social-care-market-study-interim-report" TargetMode="External"/><Relationship Id="rId28" Type="http://schemas.openxmlformats.org/officeDocument/2006/relationships/hyperlink" Target="https://socialcareinspection.blog.gov.uk/2022/08/31/supported-accommodation-we-need-strong-oversight-to-make-sure-young-people-are-safe-secure-and-doing-well/"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explore-education-statistics.service.gov.uk/data-tables/fast-track/ff1b2e07-ac44-41ca-775c-08dab100bfc2" TargetMode="External"/><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barchive.nationalarchives.gov.uk/ukgwa/20130102230431/https:/www.education.gov.uk/researchandstatistics/datasets/a00196857/children-looked-after-by-las-in-england" TargetMode="External"/><Relationship Id="rId22" Type="http://schemas.openxmlformats.org/officeDocument/2006/relationships/hyperlink" Target="https://www.gov.uk/government/publications/matching-in-foster-care-making-good-decisions-for-children-in-care-and-care-leavers" TargetMode="External"/><Relationship Id="rId27" Type="http://schemas.openxmlformats.org/officeDocument/2006/relationships/hyperlink" Target="https://www.revolution-consulting.org/wp-content/uploads/2022/03/Profit-Making-and-Risk-in-Independent-Childrens-Social-Care-Placement-Providers-FINAL-2022.pdf" TargetMode="External"/><Relationship Id="rId30" Type="http://schemas.openxmlformats.org/officeDocument/2006/relationships/hyperlink" Target="https://www.revolution-consulting.org/wp-content/uploads/2022/03/Profit-Making-and-Risk-in-Independent-Childrens-Social-Care-Placement-Providers-FINAL-2022.pdf" TargetMode="External"/><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239F964386569438B52DD70708CDD72" ma:contentTypeVersion="6" ma:contentTypeDescription="Create a new document." ma:contentTypeScope="" ma:versionID="32aa5643eddd93762fe8f92cefce55a6">
  <xsd:schema xmlns:xsd="http://www.w3.org/2001/XMLSchema" xmlns:xs="http://www.w3.org/2001/XMLSchema" xmlns:p="http://schemas.microsoft.com/office/2006/metadata/properties" xmlns:ns2="dadecd40-cd3b-4cec-a2da-884faf0413cf" xmlns:ns3="ea1e48e1-5345-418d-83a6-2dc2747f72cd" targetNamespace="http://schemas.microsoft.com/office/2006/metadata/properties" ma:root="true" ma:fieldsID="2b95ef5cee42042643bc0194669702a8" ns2:_="" ns3:_="">
    <xsd:import namespace="dadecd40-cd3b-4cec-a2da-884faf0413cf"/>
    <xsd:import namespace="ea1e48e1-5345-418d-83a6-2dc2747f72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ecd40-cd3b-4cec-a2da-884faf041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1e48e1-5345-418d-83a6-2dc2747f72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E9DDD9-F9B3-45BB-B9C9-F0931FAD39E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a1e48e1-5345-418d-83a6-2dc2747f72cd"/>
    <ds:schemaRef ds:uri="http://purl.org/dc/elements/1.1/"/>
    <ds:schemaRef ds:uri="http://schemas.microsoft.com/office/2006/metadata/properties"/>
    <ds:schemaRef ds:uri="dadecd40-cd3b-4cec-a2da-884faf0413cf"/>
    <ds:schemaRef ds:uri="http://www.w3.org/XML/1998/namespace"/>
    <ds:schemaRef ds:uri="http://purl.org/dc/dcmitype/"/>
  </ds:schemaRefs>
</ds:datastoreItem>
</file>

<file path=customXml/itemProps2.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3.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4.xml><?xml version="1.0" encoding="utf-8"?>
<ds:datastoreItem xmlns:ds="http://schemas.openxmlformats.org/officeDocument/2006/customXml" ds:itemID="{4F140F95-A416-4754-88A1-10370CE6F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ecd40-cd3b-4cec-a2da-884faf0413cf"/>
    <ds:schemaRef ds:uri="ea1e48e1-5345-418d-83a6-2dc2747f7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Board report template_MJ amends</Template>
  <TotalTime>4</TotalTime>
  <Pages>6</Pages>
  <Words>1950</Words>
  <Characters>11119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Board report template</vt:lpstr>
    </vt:vector>
  </TitlesOfParts>
  <Company/>
  <LinksUpToDate>false</LinksUpToDate>
  <CharactersWithSpaces>13043</CharactersWithSpaces>
  <SharedDoc>false</SharedDoc>
  <HLinks>
    <vt:vector size="126" baseType="variant">
      <vt:variant>
        <vt:i4>5701672</vt:i4>
      </vt:variant>
      <vt:variant>
        <vt:i4>60</vt:i4>
      </vt:variant>
      <vt:variant>
        <vt:i4>0</vt:i4>
      </vt:variant>
      <vt:variant>
        <vt:i4>5</vt:i4>
      </vt:variant>
      <vt:variant>
        <vt:lpwstr>https://assets.publishing.service.gov.uk/government/uploads/system/uploads/attachment_data/file/868267/Section_251_budget_guidance_2020_to_2021.pdf</vt:lpwstr>
      </vt:variant>
      <vt:variant>
        <vt:lpwstr/>
      </vt:variant>
      <vt:variant>
        <vt:i4>6422649</vt:i4>
      </vt:variant>
      <vt:variant>
        <vt:i4>57</vt:i4>
      </vt:variant>
      <vt:variant>
        <vt:i4>0</vt:i4>
      </vt:variant>
      <vt:variant>
        <vt:i4>5</vt:i4>
      </vt:variant>
      <vt:variant>
        <vt:lpwstr>https://www.sciencedirect.com/science/article/pii/S0277953622006293</vt:lpwstr>
      </vt:variant>
      <vt:variant>
        <vt:lpwstr/>
      </vt:variant>
      <vt:variant>
        <vt:i4>917577</vt:i4>
      </vt:variant>
      <vt:variant>
        <vt:i4>54</vt:i4>
      </vt:variant>
      <vt:variant>
        <vt:i4>0</vt:i4>
      </vt:variant>
      <vt:variant>
        <vt:i4>5</vt:i4>
      </vt:variant>
      <vt:variant>
        <vt:lpwstr>https://www.gov.uk/government/statistics/childrens-social-care-data-in-england-2022/main-findings-childrens-social-care-in-england-2022</vt:lpwstr>
      </vt:variant>
      <vt:variant>
        <vt:lpwstr>childrens-homes-of-all-types-1</vt:lpwstr>
      </vt:variant>
      <vt:variant>
        <vt:i4>6684720</vt:i4>
      </vt:variant>
      <vt:variant>
        <vt:i4>51</vt:i4>
      </vt:variant>
      <vt:variant>
        <vt:i4>0</vt:i4>
      </vt:variant>
      <vt:variant>
        <vt:i4>5</vt:i4>
      </vt:variant>
      <vt:variant>
        <vt:lpwstr>https://explore-education-statistics.service.gov.uk/data-tables/permalink/36e82610-5b28-4890-e542-08dac267108a</vt:lpwstr>
      </vt:variant>
      <vt:variant>
        <vt:lpwstr/>
      </vt:variant>
      <vt:variant>
        <vt:i4>6357054</vt:i4>
      </vt:variant>
      <vt:variant>
        <vt:i4>48</vt:i4>
      </vt:variant>
      <vt:variant>
        <vt:i4>0</vt:i4>
      </vt:variant>
      <vt:variant>
        <vt:i4>5</vt:i4>
      </vt:variant>
      <vt:variant>
        <vt:lpwstr>https://socialcareinspection.blog.gov.uk/2022/08/31/supported-accommodation-we-need-strong-oversight-to-make-sure-young-people-are-safe-secure-and-doing-well/</vt:lpwstr>
      </vt:variant>
      <vt:variant>
        <vt:lpwstr/>
      </vt:variant>
      <vt:variant>
        <vt:i4>2097250</vt:i4>
      </vt:variant>
      <vt:variant>
        <vt:i4>45</vt:i4>
      </vt:variant>
      <vt:variant>
        <vt:i4>0</vt:i4>
      </vt:variant>
      <vt:variant>
        <vt:i4>5</vt:i4>
      </vt:variant>
      <vt:variant>
        <vt:lpwstr>https://www.revolution-consulting.org/wp-content/uploads/2022/03/Profit-Making-and-Risk-in-Independent-Childrens-Social-Care-Placement-Providers-FINAL-2022.pdf</vt:lpwstr>
      </vt:variant>
      <vt:variant>
        <vt:lpwstr/>
      </vt:variant>
      <vt:variant>
        <vt:i4>7012413</vt:i4>
      </vt:variant>
      <vt:variant>
        <vt:i4>42</vt:i4>
      </vt:variant>
      <vt:variant>
        <vt:i4>0</vt:i4>
      </vt:variant>
      <vt:variant>
        <vt:i4>5</vt:i4>
      </vt:variant>
      <vt:variant>
        <vt:lpwstr>https://www.gov.uk/government/statistics/fostering-in-england-1-april-2021-to-31-march-2022/fostering-in-england-1-april-2021-to-31-march-2022</vt:lpwstr>
      </vt:variant>
      <vt:variant>
        <vt:lpwstr/>
      </vt:variant>
      <vt:variant>
        <vt:i4>917577</vt:i4>
      </vt:variant>
      <vt:variant>
        <vt:i4>39</vt:i4>
      </vt:variant>
      <vt:variant>
        <vt:i4>0</vt:i4>
      </vt:variant>
      <vt:variant>
        <vt:i4>5</vt:i4>
      </vt:variant>
      <vt:variant>
        <vt:lpwstr>https://www.gov.uk/government/statistics/childrens-social-care-data-in-england-2022/main-findings-childrens-social-care-in-england-2022</vt:lpwstr>
      </vt:variant>
      <vt:variant>
        <vt:lpwstr>childrens-homes-of-all-types-1</vt:lpwstr>
      </vt:variant>
      <vt:variant>
        <vt:i4>4456540</vt:i4>
      </vt:variant>
      <vt:variant>
        <vt:i4>36</vt:i4>
      </vt:variant>
      <vt:variant>
        <vt:i4>0</vt:i4>
      </vt:variant>
      <vt:variant>
        <vt:i4>5</vt:i4>
      </vt:variant>
      <vt:variant>
        <vt:lpwstr>https://www.gov.uk/government/publications/childrens-social-care-market-study-interim-report</vt:lpwstr>
      </vt:variant>
      <vt:variant>
        <vt:lpwstr/>
      </vt:variant>
      <vt:variant>
        <vt:i4>2097279</vt:i4>
      </vt:variant>
      <vt:variant>
        <vt:i4>33</vt:i4>
      </vt:variant>
      <vt:variant>
        <vt:i4>0</vt:i4>
      </vt:variant>
      <vt:variant>
        <vt:i4>5</vt:i4>
      </vt:variant>
      <vt:variant>
        <vt:lpwstr>https://www.gov.uk/government/publications/matching-in-foster-care-making-good-decisions-for-children-in-care-and-care-leavers</vt:lpwstr>
      </vt:variant>
      <vt:variant>
        <vt:lpwstr/>
      </vt:variant>
      <vt:variant>
        <vt:i4>7471142</vt:i4>
      </vt:variant>
      <vt:variant>
        <vt:i4>30</vt:i4>
      </vt:variant>
      <vt:variant>
        <vt:i4>0</vt:i4>
      </vt:variant>
      <vt:variant>
        <vt:i4>5</vt:i4>
      </vt:variant>
      <vt:variant>
        <vt:lpwstr>https://www.gov.uk/government/statistics/fostering-in-england-1-april-2020-to-31-march-2021/fostering-in-england-2020-to-2021-main-findings</vt:lpwstr>
      </vt:variant>
      <vt:variant>
        <vt:lpwstr>fostering-households</vt:lpwstr>
      </vt:variant>
      <vt:variant>
        <vt:i4>7077992</vt:i4>
      </vt:variant>
      <vt:variant>
        <vt:i4>27</vt:i4>
      </vt:variant>
      <vt:variant>
        <vt:i4>0</vt:i4>
      </vt:variant>
      <vt:variant>
        <vt:i4>5</vt:i4>
      </vt:variant>
      <vt:variant>
        <vt:lpwstr>https://www.gov.uk/government/statistics/childrens-social-care-data-in-england-2022/main-findings-childrens-social-care-in-england-2022</vt:lpwstr>
      </vt:variant>
      <vt:variant>
        <vt:lpwstr>social-care-providers-and-places-as-at-31-march-2022</vt:lpwstr>
      </vt:variant>
      <vt:variant>
        <vt:i4>4128872</vt:i4>
      </vt:variant>
      <vt:variant>
        <vt:i4>24</vt:i4>
      </vt:variant>
      <vt:variant>
        <vt:i4>0</vt:i4>
      </vt:variant>
      <vt:variant>
        <vt:i4>5</vt:i4>
      </vt:variant>
      <vt:variant>
        <vt:lpwstr>https://explore-education-statistics.service.gov.uk/data-tables/permalink/8814ac22-f30a-4d26-e53f-08dac267108a</vt:lpwstr>
      </vt:variant>
      <vt:variant>
        <vt:lpwstr/>
      </vt:variant>
      <vt:variant>
        <vt:i4>4128872</vt:i4>
      </vt:variant>
      <vt:variant>
        <vt:i4>21</vt:i4>
      </vt:variant>
      <vt:variant>
        <vt:i4>0</vt:i4>
      </vt:variant>
      <vt:variant>
        <vt:i4>5</vt:i4>
      </vt:variant>
      <vt:variant>
        <vt:lpwstr>https://explore-education-statistics.service.gov.uk/data-tables/permalink/8814ac22-f30a-4d26-e53f-08dac267108a</vt:lpwstr>
      </vt:variant>
      <vt:variant>
        <vt:lpwstr/>
      </vt:variant>
      <vt:variant>
        <vt:i4>6553659</vt:i4>
      </vt:variant>
      <vt:variant>
        <vt:i4>18</vt:i4>
      </vt:variant>
      <vt:variant>
        <vt:i4>0</vt:i4>
      </vt:variant>
      <vt:variant>
        <vt:i4>5</vt:i4>
      </vt:variant>
      <vt:variant>
        <vt:lpwstr>https://explore-education-statistics.service.gov.uk/data-tables/permalink/e41aca73-ec3d-4091-c93d-08dabb2f06e2</vt:lpwstr>
      </vt:variant>
      <vt:variant>
        <vt:lpwstr/>
      </vt:variant>
      <vt:variant>
        <vt:i4>262148</vt:i4>
      </vt:variant>
      <vt:variant>
        <vt:i4>15</vt:i4>
      </vt:variant>
      <vt:variant>
        <vt:i4>0</vt:i4>
      </vt:variant>
      <vt:variant>
        <vt:i4>5</vt:i4>
      </vt:variant>
      <vt:variant>
        <vt:lpwstr>https://webarchive.nationalarchives.gov.uk/ukgwa/20130102230431/https:/www.education.gov.uk/researchandstatistics/datasets/a00196857/children-looked-after-by-las-in-england</vt:lpwstr>
      </vt:variant>
      <vt:variant>
        <vt:lpwstr/>
      </vt:variant>
      <vt:variant>
        <vt:i4>3473515</vt:i4>
      </vt:variant>
      <vt:variant>
        <vt:i4>12</vt:i4>
      </vt:variant>
      <vt:variant>
        <vt:i4>0</vt:i4>
      </vt:variant>
      <vt:variant>
        <vt:i4>5</vt:i4>
      </vt:variant>
      <vt:variant>
        <vt:lpwstr>https://explore-education-statistics.service.gov.uk/data-tables/permalink/f33ab092-3304-44af-c93b-08dabb2f06e2</vt:lpwstr>
      </vt:variant>
      <vt:variant>
        <vt:lpwstr/>
      </vt:variant>
      <vt:variant>
        <vt:i4>262148</vt:i4>
      </vt:variant>
      <vt:variant>
        <vt:i4>9</vt:i4>
      </vt:variant>
      <vt:variant>
        <vt:i4>0</vt:i4>
      </vt:variant>
      <vt:variant>
        <vt:i4>5</vt:i4>
      </vt:variant>
      <vt:variant>
        <vt:lpwstr>https://webarchive.nationalarchives.gov.uk/ukgwa/20130102230431/https:/www.education.gov.uk/researchandstatistics/datasets/a00196857/children-looked-after-by-las-in-england</vt:lpwstr>
      </vt:variant>
      <vt:variant>
        <vt:lpwstr/>
      </vt:variant>
      <vt:variant>
        <vt:i4>6488120</vt:i4>
      </vt:variant>
      <vt:variant>
        <vt:i4>6</vt:i4>
      </vt:variant>
      <vt:variant>
        <vt:i4>0</vt:i4>
      </vt:variant>
      <vt:variant>
        <vt:i4>5</vt:i4>
      </vt:variant>
      <vt:variant>
        <vt:lpwstr>https://explore-education-statistics.service.gov.uk/data-tables/permalink/e55fc897-8f41-40e7-c93a-08dabb2f06e2</vt:lpwstr>
      </vt:variant>
      <vt:variant>
        <vt:lpwstr/>
      </vt:variant>
      <vt:variant>
        <vt:i4>262148</vt:i4>
      </vt:variant>
      <vt:variant>
        <vt:i4>3</vt:i4>
      </vt:variant>
      <vt:variant>
        <vt:i4>0</vt:i4>
      </vt:variant>
      <vt:variant>
        <vt:i4>5</vt:i4>
      </vt:variant>
      <vt:variant>
        <vt:lpwstr>https://webarchive.nationalarchives.gov.uk/ukgwa/20130102230431/https:/www.education.gov.uk/researchandstatistics/datasets/a00196857/children-looked-after-by-las-in-england</vt:lpwstr>
      </vt:variant>
      <vt:variant>
        <vt:lpwstr/>
      </vt:variant>
      <vt:variant>
        <vt:i4>7667804</vt:i4>
      </vt:variant>
      <vt:variant>
        <vt:i4>0</vt:i4>
      </vt:variant>
      <vt:variant>
        <vt:i4>0</vt:i4>
      </vt:variant>
      <vt:variant>
        <vt:i4>5</vt:i4>
      </vt:variant>
      <vt:variant>
        <vt:lpwstr>mailto:louise.smith@local.gov.uk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Abigail Benari</cp:lastModifiedBy>
  <cp:revision>4</cp:revision>
  <dcterms:created xsi:type="dcterms:W3CDTF">2023-06-16T14:44:00Z</dcterms:created>
  <dcterms:modified xsi:type="dcterms:W3CDTF">2023-06-16T15:40:00Z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0x0101000239F964386569438B52DD70708CDD72</vt:lpwstr>
  </property>
  <property fmtid="{D5CDD505-2E9C-101B-9397-08002B2CF9AE}" pid="3" name="Document owner">
    <vt:lpwstr>999;#LGA MemberServices</vt:lpwstr>
  </property>
</Properties>
</file>